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9B37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3A60747">
            <w:pPr>
              <w:pStyle w:val="18"/>
              <w:framePr w:wrap="notBeside" w:vAnchor="page" w:hAnchor="page" w:x="1372" w:y="568"/>
              <w:tabs>
                <w:tab w:val="clear" w:pos="4153"/>
                <w:tab w:val="clear" w:pos="8306"/>
              </w:tabs>
              <w:spacing w:line="240" w:lineRule="auto"/>
              <w:jc w:val="left"/>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p>
        </w:tc>
        <w:tc>
          <w:tcPr>
            <w:tcW w:w="8855" w:type="dxa"/>
          </w:tcPr>
          <w:p w14:paraId="53720EED">
            <w:pPr>
              <w:pStyle w:val="18"/>
              <w:framePr w:wrap="notBeside" w:vAnchor="page" w:hAnchor="page" w:x="1372" w:y="568"/>
              <w:tabs>
                <w:tab w:val="clear" w:pos="4153"/>
                <w:tab w:val="clear" w:pos="8306"/>
              </w:tabs>
              <w:spacing w:line="240" w:lineRule="auto"/>
              <w:jc w:val="both"/>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fldChar w:fldCharType="begin">
                <w:ffData>
                  <w:name w:val="ICS"/>
                  <w:enabled/>
                  <w:calcOnExit w:val="0"/>
                  <w:textInput>
                    <w:default w:val="点击此处添加CCS号"/>
                  </w:textInput>
                </w:ffData>
              </w:fldChar>
            </w:r>
            <w:bookmarkStart w:id="0" w:name="ICS"/>
            <w:r>
              <w:rPr>
                <w:rFonts w:ascii="Times New Roman" w:hAnsi="Times New Roman" w:eastAsia="黑体"/>
                <w:color w:val="000000" w:themeColor="text1"/>
                <w:sz w:val="21"/>
                <w:szCs w:val="21"/>
                <w14:textFill>
                  <w14:solidFill>
                    <w14:schemeClr w14:val="tx1"/>
                  </w14:solidFill>
                </w14:textFill>
              </w:rPr>
              <w:instrText xml:space="preserve"> FORMTEXT </w:instrText>
            </w:r>
            <w:r>
              <w:rPr>
                <w:rFonts w:ascii="Times New Roman" w:hAnsi="Times New Roman" w:eastAsia="黑体"/>
                <w:color w:val="000000" w:themeColor="text1"/>
                <w:sz w:val="21"/>
                <w:szCs w:val="21"/>
                <w14:textFill>
                  <w14:solidFill>
                    <w14:schemeClr w14:val="tx1"/>
                  </w14:solidFill>
                </w14:textFill>
              </w:rPr>
              <w:fldChar w:fldCharType="separate"/>
            </w:r>
            <w:r>
              <w:rPr>
                <w:rFonts w:ascii="Times New Roman" w:hAnsi="Times New Roman" w:eastAsia="黑体"/>
                <w:color w:val="000000" w:themeColor="text1"/>
                <w:sz w:val="21"/>
                <w:szCs w:val="21"/>
                <w14:textFill>
                  <w14:solidFill>
                    <w14:schemeClr w14:val="tx1"/>
                  </w14:solidFill>
                </w14:textFill>
              </w:rPr>
              <w:t>C23</w:t>
            </w:r>
            <w:r>
              <w:rPr>
                <w:rFonts w:ascii="Times New Roman" w:hAnsi="Times New Roman" w:eastAsia="黑体"/>
                <w:color w:val="000000" w:themeColor="text1"/>
                <w:sz w:val="21"/>
                <w:szCs w:val="21"/>
                <w14:textFill>
                  <w14:solidFill>
                    <w14:schemeClr w14:val="tx1"/>
                  </w14:solidFill>
                </w14:textFill>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58B647C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54B5ACE2">
            <w:pPr>
              <w:pStyle w:val="49"/>
              <w:framePr w:w="0" w:hRule="auto" w:wrap="auto" w:vAnchor="margin" w:hAnchor="text" w:xAlign="left" w:yAlign="inline"/>
              <w:rPr>
                <w:rFonts w:hint="eastAsia" w:ascii="宋体" w:hAnsi="宋体"/>
                <w:color w:val="000000" w:themeColor="text1"/>
                <w:sz w:val="28"/>
                <w:szCs w:val="28"/>
                <w14:textFill>
                  <w14:solidFill>
                    <w14:schemeClr w14:val="tx1"/>
                  </w14:solidFill>
                </w14:textFill>
              </w:rPr>
            </w:pPr>
            <w:bookmarkStart w:id="1" w:name="_Hlk26473981"/>
            <w:r>
              <w:rPr>
                <w:color w:val="000000" w:themeColor="text1"/>
                <w14:textFill>
                  <w14:solidFill>
                    <w14:schemeClr w14:val="tx1"/>
                  </w14:solidFill>
                </w14:textFill>
              </w:rP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000000" w:themeColor="text1"/>
                <w14:textFill>
                  <w14:solidFill>
                    <w14:schemeClr w14:val="tx1"/>
                  </w14:solidFill>
                </w14:textFill>
              </w:rPr>
              <w:t>/</w:t>
            </w:r>
            <w:bookmarkStart w:id="2" w:name="c1"/>
            <w:r>
              <w:rPr>
                <w:rFonts w:hint="eastAsia"/>
                <w:color w:val="000000" w:themeColor="text1"/>
                <w14:textFill>
                  <w14:solidFill>
                    <w14:schemeClr w14:val="tx1"/>
                  </w14:solidFill>
                </w14:textFill>
              </w:rPr>
              <w:fldChar w:fldCharType="begin">
                <w:ffData>
                  <w:name w:val="c1"/>
                  <w:enabled/>
                  <w:calcOnExit w:val="0"/>
                  <w:textInput>
                    <w:default w:val="BQL"/>
                    <w:maxLength w:val="7"/>
                  </w:textInput>
                </w:ffData>
              </w:fldChar>
            </w:r>
            <w:r>
              <w:rPr>
                <w:rFonts w:hint="eastAsia"/>
                <w:color w:val="000000" w:themeColor="text1"/>
                <w14:textFill>
                  <w14:solidFill>
                    <w14:schemeClr w14:val="tx1"/>
                  </w14:solidFill>
                </w14:textFill>
              </w:rPr>
              <w:instrText xml:space="preserve">FORMTEXT</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BQL</w:t>
            </w:r>
            <w:r>
              <w:rPr>
                <w:rFonts w:hint="eastAsia"/>
                <w:color w:val="000000" w:themeColor="text1"/>
                <w14:textFill>
                  <w14:solidFill>
                    <w14:schemeClr w14:val="tx1"/>
                  </w14:solidFill>
                </w14:textFill>
              </w:rPr>
              <w:fldChar w:fldCharType="end"/>
            </w:r>
            <w:bookmarkEnd w:id="2"/>
          </w:p>
        </w:tc>
      </w:tr>
    </w:tbl>
    <w:p w14:paraId="63ED33F3">
      <w:pPr>
        <w:pStyle w:val="50"/>
        <w:framePr w:w="9639" w:h="624" w:hRule="exact" w:hSpace="181" w:vSpace="181" w:wrap="around" w:hAnchor="page" w:x="1305" w:y="2269"/>
        <w:rPr>
          <w:rFonts w:hint="eastAsia" w:ascii="黑体" w:hAnsi="黑体" w:eastAsia="黑体"/>
          <w:b w:val="0"/>
          <w:bCs w:val="0"/>
          <w:color w:val="000000" w:themeColor="text1"/>
          <w:w w:val="100"/>
          <w:sz w:val="48"/>
          <w:szCs w:val="48"/>
          <w14:textFill>
            <w14:solidFill>
              <w14:schemeClr w14:val="tx1"/>
            </w14:solidFill>
          </w14:textFill>
        </w:rPr>
      </w:pPr>
      <w:bookmarkStart w:id="3" w:name="c2"/>
      <w:r>
        <w:rPr>
          <w:rFonts w:hint="eastAsia" w:ascii="黑体" w:eastAsia="黑体"/>
          <w:b w:val="0"/>
          <w:color w:val="000000" w:themeColor="text1"/>
          <w:w w:val="100"/>
          <w:sz w:val="48"/>
          <w14:textFill>
            <w14:solidFill>
              <w14:schemeClr w14:val="tx1"/>
            </w14:solidFill>
          </w14:textFill>
        </w:rPr>
        <w:fldChar w:fldCharType="begin">
          <w:ffData>
            <w:name w:val="c2"/>
            <w:enabled/>
            <w:calcOnExit w:val="0"/>
            <w:textInput>
              <w:default w:val="巴中秦岭药业有限公司"/>
            </w:textInput>
          </w:ffData>
        </w:fldChar>
      </w:r>
      <w:r>
        <w:rPr>
          <w:rFonts w:hint="eastAsia" w:ascii="黑体" w:eastAsia="黑体"/>
          <w:b w:val="0"/>
          <w:color w:val="000000" w:themeColor="text1"/>
          <w:w w:val="100"/>
          <w:sz w:val="48"/>
          <w14:textFill>
            <w14:solidFill>
              <w14:schemeClr w14:val="tx1"/>
            </w14:solidFill>
          </w14:textFill>
        </w:rPr>
        <w:instrText xml:space="preserve">FORMTEXT</w:instrText>
      </w:r>
      <w:r>
        <w:rPr>
          <w:rFonts w:hint="eastAsia" w:ascii="黑体" w:eastAsia="黑体"/>
          <w:b w:val="0"/>
          <w:color w:val="000000" w:themeColor="text1"/>
          <w:w w:val="100"/>
          <w:sz w:val="48"/>
          <w14:textFill>
            <w14:solidFill>
              <w14:schemeClr w14:val="tx1"/>
            </w14:solidFill>
          </w14:textFill>
        </w:rPr>
        <w:fldChar w:fldCharType="separate"/>
      </w:r>
      <w:r>
        <w:rPr>
          <w:rFonts w:hint="eastAsia" w:ascii="黑体" w:eastAsia="黑体"/>
          <w:b w:val="0"/>
          <w:color w:val="000000" w:themeColor="text1"/>
          <w:w w:val="100"/>
          <w:sz w:val="48"/>
          <w14:textFill>
            <w14:solidFill>
              <w14:schemeClr w14:val="tx1"/>
            </w14:solidFill>
          </w14:textFill>
        </w:rPr>
        <w:t>巴中秦岭药业有限公司</w:t>
      </w:r>
      <w:r>
        <w:rPr>
          <w:rFonts w:hint="eastAsia" w:ascii="黑体" w:eastAsia="黑体"/>
          <w:b w:val="0"/>
          <w:color w:val="000000" w:themeColor="text1"/>
          <w:w w:val="100"/>
          <w:sz w:val="48"/>
          <w14:textFill>
            <w14:solidFill>
              <w14:schemeClr w14:val="tx1"/>
            </w14:solidFill>
          </w14:textFill>
        </w:rPr>
        <w:fldChar w:fldCharType="end"/>
      </w:r>
      <w:bookmarkEnd w:id="3"/>
      <w:r>
        <w:rPr>
          <w:rFonts w:hint="eastAsia" w:ascii="黑体" w:eastAsia="黑体"/>
          <w:b w:val="0"/>
          <w:color w:val="000000" w:themeColor="text1"/>
          <w:w w:val="100"/>
          <w:sz w:val="48"/>
          <w14:textFill>
            <w14:solidFill>
              <w14:schemeClr w14:val="tx1"/>
            </w14:solidFill>
          </w14:textFill>
        </w:rPr>
        <w:t>企业</w:t>
      </w:r>
      <w:r>
        <w:rPr>
          <w:rFonts w:hint="eastAsia" w:ascii="黑体" w:hAnsi="黑体" w:eastAsia="黑体"/>
          <w:b w:val="0"/>
          <w:bCs w:val="0"/>
          <w:color w:val="000000" w:themeColor="text1"/>
          <w:w w:val="100"/>
          <w:sz w:val="48"/>
          <w:szCs w:val="48"/>
          <w14:textFill>
            <w14:solidFill>
              <w14:schemeClr w14:val="tx1"/>
            </w14:solidFill>
          </w14:textFill>
        </w:rPr>
        <w:t>标准</w:t>
      </w:r>
    </w:p>
    <w:bookmarkEnd w:id="1"/>
    <w:p w14:paraId="1DEEDF20">
      <w:pPr>
        <w:pStyle w:val="195"/>
        <w:rPr>
          <w:color w:val="000000" w:themeColor="text1"/>
          <w14:textFill>
            <w14:solidFill>
              <w14:schemeClr w14:val="tx1"/>
            </w14:solidFill>
          </w14:textFill>
        </w:rPr>
      </w:pPr>
      <w:r>
        <w:rPr>
          <w:color w:val="000000" w:themeColor="text1"/>
          <w14:textFill>
            <w14:solidFill>
              <w14:schemeClr w14:val="tx1"/>
            </w14:solidFill>
          </w14:textFill>
        </w:rPr>
        <w:t>Q/</w:t>
      </w:r>
      <w:bookmarkStart w:id="4" w:name="文字1"/>
      <w:r>
        <w:rPr>
          <w:rFonts w:hint="eastAsia"/>
          <w:color w:val="000000" w:themeColor="text1"/>
          <w14:textFill>
            <w14:solidFill>
              <w14:schemeClr w14:val="tx1"/>
            </w14:solidFill>
          </w14:textFill>
        </w:rPr>
        <w:fldChar w:fldCharType="begin">
          <w:ffData>
            <w:name w:val="文字1"/>
            <w:enabled/>
            <w:calcOnExit w:val="0"/>
            <w:textInput>
              <w:default w:val="BQL"/>
            </w:textInput>
          </w:ffData>
        </w:fldChar>
      </w:r>
      <w:r>
        <w:rPr>
          <w:rFonts w:hint="eastAsia"/>
          <w:color w:val="000000" w:themeColor="text1"/>
          <w14:textFill>
            <w14:solidFill>
              <w14:schemeClr w14:val="tx1"/>
            </w14:solidFill>
          </w14:textFill>
        </w:rPr>
        <w:instrText xml:space="preserve">FORMTEXT</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BQL</w:t>
      </w:r>
      <w:r>
        <w:rPr>
          <w:rFonts w:hint="eastAsia"/>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t xml:space="preserve"> </w:t>
      </w:r>
      <w:bookmarkStart w:id="5" w:name="NSTD_CODE_F"/>
      <w:r>
        <w:rPr>
          <w:color w:val="000000" w:themeColor="text1"/>
          <w14:textFill>
            <w14:solidFill>
              <w14:schemeClr w14:val="tx1"/>
            </w14:solidFill>
          </w14:textFill>
        </w:rPr>
        <w:fldChar w:fldCharType="begin">
          <w:ffData>
            <w:name w:val="NSTD_CODE_F"/>
            <w:enabled/>
            <w:calcOnExit w:val="0"/>
            <w:textInput>
              <w:default w:val="0009"/>
            </w:textInput>
          </w:ffData>
        </w:fldChar>
      </w:r>
      <w:r>
        <w:rPr>
          <w:color w:val="000000" w:themeColor="text1"/>
          <w14:textFill>
            <w14:solidFill>
              <w14:schemeClr w14:val="tx1"/>
            </w14:solidFill>
          </w14:textFill>
        </w:rPr>
        <w:instrText xml:space="preserve">FORMTEXT</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0009</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6"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202</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fldChar w:fldCharType="end"/>
      </w:r>
      <w:bookmarkEnd w:id="6"/>
    </w:p>
    <w:p w14:paraId="6FF28D0A">
      <w:pPr>
        <w:pStyle w:val="196"/>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7"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7"/>
    </w:p>
    <w:p w14:paraId="47199E3C">
      <w:pPr>
        <w:spacing w:line="240" w:lineRule="auto"/>
        <w:rPr>
          <w:rFonts w:hint="eastAsia"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CD84953">
      <w:pPr>
        <w:pStyle w:val="50"/>
        <w:framePr w:w="9639" w:h="6976" w:hRule="exact" w:hSpace="0" w:vSpace="0" w:wrap="around" w:hAnchor="page" w:y="6408"/>
        <w:jc w:val="center"/>
        <w:rPr>
          <w:rFonts w:hint="eastAsia" w:ascii="黑体" w:hAnsi="黑体" w:eastAsia="黑体"/>
          <w:b w:val="0"/>
          <w:bCs w:val="0"/>
          <w:color w:val="000000" w:themeColor="text1"/>
          <w:w w:val="100"/>
          <w14:textFill>
            <w14:solidFill>
              <w14:schemeClr w14:val="tx1"/>
            </w14:solidFill>
          </w14:textFill>
        </w:rPr>
      </w:pPr>
    </w:p>
    <w:p w14:paraId="5081D3B6">
      <w:pPr>
        <w:pStyle w:val="197"/>
        <w:framePr w:w="6849" w:h="6974" w:hRule="exact" w:wrap="around" w:x="2284" w:y="5898" w:anchorLock="1"/>
        <w:rPr>
          <w:rFonts w:hint="eastAsia"/>
          <w:color w:val="000000" w:themeColor="text1"/>
          <w14:textFill>
            <w14:solidFill>
              <w14:schemeClr w14:val="tx1"/>
            </w14:solidFill>
          </w14:textFill>
        </w:rPr>
      </w:pPr>
      <w:bookmarkStart w:id="8" w:name="CSTD_NAME"/>
      <w:r>
        <w:rPr>
          <w:rFonts w:hint="eastAsia"/>
          <w:color w:val="000000" w:themeColor="text1"/>
          <w14:textFill>
            <w14:solidFill>
              <w14:schemeClr w14:val="tx1"/>
            </w14:solidFill>
          </w14:textFill>
        </w:rPr>
        <w:fldChar w:fldCharType="begin">
          <w:ffData>
            <w:name w:val="CSTD_NAME"/>
            <w:enabled/>
            <w:calcOnExit w:val="0"/>
            <w:textInput>
              <w:default w:val="川产道地药材“三五二”工程 质量追溯体系要求 枳壳"/>
            </w:textInput>
          </w:ffData>
        </w:fldChar>
      </w:r>
      <w:r>
        <w:rPr>
          <w:rFonts w:hint="eastAsia"/>
          <w:color w:val="000000" w:themeColor="text1"/>
          <w14:textFill>
            <w14:solidFill>
              <w14:schemeClr w14:val="tx1"/>
            </w14:solidFill>
          </w14:textFill>
        </w:rPr>
        <w:instrText xml:space="preserve">FORMTEXT</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 xml:space="preserve">川产道地药材“三五二”工程 质量追溯体系要求 </w:t>
      </w:r>
    </w:p>
    <w:p w14:paraId="1FA3CFCD">
      <w:pPr>
        <w:pStyle w:val="197"/>
        <w:framePr w:w="6849" w:h="6974" w:hRule="exact" w:wrap="around" w:x="2284" w:y="5898" w:anchorLock="1"/>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枳壳</w:t>
      </w:r>
      <w:r>
        <w:rPr>
          <w:rFonts w:hint="eastAsia"/>
          <w:color w:val="000000" w:themeColor="text1"/>
          <w14:textFill>
            <w14:solidFill>
              <w14:schemeClr w14:val="tx1"/>
            </w14:solidFill>
          </w14:textFill>
        </w:rPr>
        <w:fldChar w:fldCharType="end"/>
      </w:r>
      <w:bookmarkEnd w:id="8"/>
    </w:p>
    <w:p w14:paraId="6A67A76A">
      <w:pPr>
        <w:framePr w:w="6849" w:h="6974" w:hRule="exact" w:wrap="around" w:vAnchor="page" w:hAnchor="page" w:x="2284" w:y="5898" w:anchorLock="1"/>
        <w:ind w:left="-1418"/>
        <w:rPr>
          <w:color w:val="000000" w:themeColor="text1"/>
          <w14:textFill>
            <w14:solidFill>
              <w14:schemeClr w14:val="tx1"/>
            </w14:solidFill>
          </w14:textFill>
        </w:rPr>
      </w:pPr>
    </w:p>
    <w:p w14:paraId="258E7356">
      <w:pPr>
        <w:pStyle w:val="125"/>
        <w:framePr w:w="6849" w:h="6974" w:hRule="exact" w:wrap="around" w:vAnchor="page" w:hAnchor="page" w:x="2284" w:y="5898" w:anchorLock="1"/>
        <w:textAlignment w:val="bottom"/>
        <w:rPr>
          <w:rFonts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fldChar w:fldCharType="begin">
          <w:ffData>
            <w:name w:val="ESTD_NAME"/>
            <w:enabled/>
            <w:calcOnExit w:val="0"/>
            <w:textInput>
              <w:default w:val="点击此处添加标准名称的英文译名"/>
            </w:textInput>
          </w:ffData>
        </w:fldChar>
      </w:r>
      <w:bookmarkStart w:id="9" w:name="ESTD_NAME"/>
      <w:r>
        <w:rPr>
          <w:rFonts w:eastAsia="黑体"/>
          <w:color w:val="000000" w:themeColor="text1"/>
          <w:szCs w:val="28"/>
          <w14:textFill>
            <w14:solidFill>
              <w14:schemeClr w14:val="tx1"/>
            </w14:solidFill>
          </w14:textFill>
        </w:rPr>
        <w:instrText xml:space="preserve"> FORMTEXT </w:instrText>
      </w:r>
      <w:r>
        <w:rPr>
          <w:rFonts w:eastAsia="黑体"/>
          <w:color w:val="000000" w:themeColor="text1"/>
          <w:szCs w:val="28"/>
          <w14:textFill>
            <w14:solidFill>
              <w14:schemeClr w14:val="tx1"/>
            </w14:solidFill>
          </w14:textFill>
        </w:rPr>
        <w:fldChar w:fldCharType="separate"/>
      </w:r>
      <w:r>
        <w:rPr>
          <w:rFonts w:eastAsia="黑体"/>
          <w:color w:val="000000" w:themeColor="text1"/>
          <w:szCs w:val="28"/>
          <w14:textFill>
            <w14:solidFill>
              <w14:schemeClr w14:val="tx1"/>
            </w14:solidFill>
          </w14:textFill>
        </w:rPr>
        <w:t xml:space="preserve"> </w:t>
      </w:r>
      <w:r>
        <w:rPr>
          <w:rFonts w:eastAsia="黑体"/>
          <w:color w:val="000000" w:themeColor="text1"/>
          <w:szCs w:val="28"/>
          <w14:textFill>
            <w14:solidFill>
              <w14:schemeClr w14:val="tx1"/>
            </w14:solidFill>
          </w14:textFill>
        </w:rPr>
        <w:fldChar w:fldCharType="end"/>
      </w:r>
      <w:bookmarkEnd w:id="9"/>
    </w:p>
    <w:p w14:paraId="64EB7E4F">
      <w:pPr>
        <w:framePr w:w="6849" w:h="6974" w:hRule="exact" w:wrap="around" w:vAnchor="page" w:hAnchor="page" w:x="2284" w:y="5898" w:anchorLock="1"/>
        <w:spacing w:line="760" w:lineRule="exact"/>
        <w:ind w:left="-1418"/>
        <w:rPr>
          <w:color w:val="000000" w:themeColor="text1"/>
          <w14:textFill>
            <w14:solidFill>
              <w14:schemeClr w14:val="tx1"/>
            </w14:solidFill>
          </w14:textFill>
        </w:rPr>
      </w:pPr>
    </w:p>
    <w:p w14:paraId="39599542">
      <w:pPr>
        <w:pStyle w:val="125"/>
        <w:framePr w:w="6849" w:h="6974" w:hRule="exact" w:wrap="around" w:vAnchor="page" w:hAnchor="page" w:x="2284" w:y="5898" w:anchorLock="1"/>
        <w:textAlignment w:val="bottom"/>
        <w:rPr>
          <w:rFonts w:eastAsia="黑体"/>
          <w:color w:val="000000" w:themeColor="text1"/>
          <w:szCs w:val="28"/>
          <w14:textFill>
            <w14:solidFill>
              <w14:schemeClr w14:val="tx1"/>
            </w14:solidFill>
          </w14:textFill>
        </w:rPr>
      </w:pPr>
    </w:p>
    <w:p w14:paraId="3CBFE8C8">
      <w:pPr>
        <w:pStyle w:val="125"/>
        <w:framePr w:w="6849" w:h="6974" w:hRule="exact" w:wrap="around" w:vAnchor="page" w:hAnchor="page" w:x="2284" w:y="5898"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0"/>
    </w:p>
    <w:p w14:paraId="29521866">
      <w:pPr>
        <w:pStyle w:val="125"/>
        <w:framePr w:w="6849" w:h="6974" w:hRule="exact" w:wrap="around" w:vAnchor="page" w:hAnchor="page" w:x="2284" w:y="5898" w:anchorLock="1"/>
        <w:spacing w:before="180" w:line="240" w:lineRule="atLeast"/>
        <w:textAlignment w:val="bottom"/>
        <w:rPr>
          <w:color w:val="000000" w:themeColor="text1"/>
          <w:sz w:val="21"/>
          <w:szCs w:val="28"/>
          <w14:textFill>
            <w14:solidFill>
              <w14:schemeClr w14:val="tx1"/>
            </w14:solidFill>
          </w14:textFill>
        </w:rPr>
      </w:pPr>
      <w:r>
        <w:rPr>
          <w:color w:val="000000" w:themeColor="text1"/>
          <w:sz w:val="21"/>
          <w:szCs w:val="28"/>
          <w14:textFill>
            <w14:solidFill>
              <w14:schemeClr w14:val="tx1"/>
            </w14:solidFill>
          </w14:textFill>
        </w:rPr>
        <w:fldChar w:fldCharType="begin">
          <w:ffData>
            <w:name w:val="CMPLSH_DATE"/>
            <w:enabled/>
            <w:calcOnExit w:val="0"/>
            <w:textInput/>
          </w:ffData>
        </w:fldChar>
      </w:r>
      <w:bookmarkStart w:id="11" w:name="CMPLSH_DATE"/>
      <w:r>
        <w:rPr>
          <w:color w:val="000000" w:themeColor="text1"/>
          <w:sz w:val="21"/>
          <w:szCs w:val="28"/>
          <w14:textFill>
            <w14:solidFill>
              <w14:schemeClr w14:val="tx1"/>
            </w14:solidFill>
          </w14:textFill>
        </w:rPr>
        <w:instrText xml:space="preserve"> FORMTEXT </w:instrText>
      </w:r>
      <w:r>
        <w:rPr>
          <w:color w:val="000000" w:themeColor="text1"/>
          <w:sz w:val="21"/>
          <w:szCs w:val="28"/>
          <w14:textFill>
            <w14:solidFill>
              <w14:schemeClr w14:val="tx1"/>
            </w14:solidFill>
          </w14:textFill>
        </w:rPr>
        <w:fldChar w:fldCharType="separate"/>
      </w:r>
      <w:r>
        <w:rPr>
          <w:color w:val="000000" w:themeColor="text1"/>
          <w:sz w:val="21"/>
          <w:szCs w:val="28"/>
          <w14:textFill>
            <w14:solidFill>
              <w14:schemeClr w14:val="tx1"/>
            </w14:solidFill>
          </w14:textFill>
        </w:rPr>
        <w:t>     </w:t>
      </w:r>
      <w:r>
        <w:rPr>
          <w:color w:val="000000" w:themeColor="text1"/>
          <w:sz w:val="21"/>
          <w:szCs w:val="28"/>
          <w14:textFill>
            <w14:solidFill>
              <w14:schemeClr w14:val="tx1"/>
            </w14:solidFill>
          </w14:textFill>
        </w:rPr>
        <w:fldChar w:fldCharType="end"/>
      </w:r>
      <w:bookmarkEnd w:id="11"/>
    </w:p>
    <w:p w14:paraId="4D7ECF6E">
      <w:pPr>
        <w:pStyle w:val="125"/>
        <w:framePr w:w="6849" w:h="6974" w:hRule="exact" w:wrap="around" w:vAnchor="page" w:hAnchor="page" w:x="2284" w:y="5898" w:anchorLock="1"/>
        <w:spacing w:before="720" w:beforeLines="300" w:after="72" w:afterLines="30" w:line="240" w:lineRule="auto"/>
        <w:textAlignment w:val="bottom"/>
        <w:rPr>
          <w:b/>
          <w:color w:val="000000" w:themeColor="text1"/>
          <w:sz w:val="21"/>
          <w:szCs w:val="28"/>
          <w14:textFill>
            <w14:solidFill>
              <w14:schemeClr w14:val="tx1"/>
            </w14:solidFill>
          </w14:textFill>
        </w:rPr>
      </w:pPr>
    </w:p>
    <w:p w14:paraId="14E888A7">
      <w:pPr>
        <w:pStyle w:val="193"/>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2"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w:t>
      </w:r>
      <w:r>
        <w:rPr>
          <w:rFonts w:hint="eastAsia" w:ascii="黑体"/>
          <w:color w:val="000000" w:themeColor="text1"/>
          <w14:textFill>
            <w14:solidFill>
              <w14:schemeClr w14:val="tx1"/>
            </w14:solidFill>
          </w14:textFill>
        </w:rPr>
        <w:t>5</w:t>
      </w:r>
      <w:r>
        <w:rPr>
          <w:rFonts w:ascii="黑体"/>
          <w:color w:val="000000" w:themeColor="text1"/>
          <w14:textFill>
            <w14:solidFill>
              <w14:schemeClr w14:val="tx1"/>
            </w14:solidFill>
          </w14:textFill>
        </w:rPr>
        <w:fldChar w:fldCharType="end"/>
      </w:r>
      <w:bookmarkEnd w:id="12"/>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3"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3"/>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4"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rFonts w:hint="eastAsia"/>
          <w:color w:val="000000" w:themeColor="text1"/>
          <w14:textFill>
            <w14:solidFill>
              <w14:schemeClr w14:val="tx1"/>
            </w14:solidFill>
          </w14:textFill>
        </w:rPr>
        <w:t>发布</w:t>
      </w:r>
    </w:p>
    <w:p w14:paraId="37CF3267">
      <w:pPr>
        <w:pStyle w:val="194"/>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5"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w:t>
      </w:r>
      <w:r>
        <w:rPr>
          <w:rFonts w:hint="eastAsia" w:ascii="黑体"/>
          <w:color w:val="000000" w:themeColor="text1"/>
          <w14:textFill>
            <w14:solidFill>
              <w14:schemeClr w14:val="tx1"/>
            </w14:solidFill>
          </w14:textFill>
        </w:rPr>
        <w:t>5</w:t>
      </w:r>
      <w:r>
        <w:rPr>
          <w:rFonts w:ascii="黑体"/>
          <w:color w:val="000000" w:themeColor="text1"/>
          <w14:textFill>
            <w14:solidFill>
              <w14:schemeClr w14:val="tx1"/>
            </w14:solidFill>
          </w14:textFill>
        </w:rPr>
        <w:fldChar w:fldCharType="end"/>
      </w:r>
      <w:bookmarkEnd w:id="15"/>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6"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6"/>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7"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7"/>
      <w:r>
        <w:rPr>
          <w:rFonts w:hint="eastAsia"/>
          <w:color w:val="000000" w:themeColor="text1"/>
          <w14:textFill>
            <w14:solidFill>
              <w14:schemeClr w14:val="tx1"/>
            </w14:solidFill>
          </w14:textFill>
        </w:rPr>
        <w:t>实施</w:t>
      </w:r>
    </w:p>
    <w:p w14:paraId="22CD7B0D">
      <w:pPr>
        <w:pStyle w:val="151"/>
        <w:framePr w:h="584" w:hRule="exact" w:hSpace="181" w:vSpace="181" w:wrap="around" w:y="15027"/>
        <w:rPr>
          <w:rFonts w:hint="eastAsia" w:hAnsi="黑体"/>
          <w:color w:val="000000" w:themeColor="text1"/>
          <w14:textFill>
            <w14:solidFill>
              <w14:schemeClr w14:val="tx1"/>
            </w14:solidFill>
          </w14:textFill>
        </w:rPr>
      </w:pPr>
      <w:bookmarkStart w:id="18" w:name="fm"/>
      <w:r>
        <w:rPr>
          <w:rFonts w:hint="eastAsia" w:hAnsi="黑体"/>
          <w:color w:val="000000" w:themeColor="text1"/>
          <w:w w:val="100"/>
          <w:sz w:val="28"/>
          <w14:textFill>
            <w14:solidFill>
              <w14:schemeClr w14:val="tx1"/>
            </w14:solidFill>
          </w14:textFill>
        </w:rPr>
        <w:fldChar w:fldCharType="begin">
          <w:ffData>
            <w:name w:val="fm"/>
            <w:enabled/>
            <w:calcOnExit w:val="0"/>
            <w:textInput>
              <w:default w:val="巴中秦岭药业有限公司"/>
            </w:textInput>
          </w:ffData>
        </w:fldChar>
      </w:r>
      <w:r>
        <w:rPr>
          <w:rFonts w:hint="eastAsia" w:hAnsi="黑体"/>
          <w:color w:val="000000" w:themeColor="text1"/>
          <w:w w:val="100"/>
          <w:sz w:val="28"/>
          <w14:textFill>
            <w14:solidFill>
              <w14:schemeClr w14:val="tx1"/>
            </w14:solidFill>
          </w14:textFill>
        </w:rPr>
        <w:instrText xml:space="preserve">FORMTEXT</w:instrText>
      </w:r>
      <w:r>
        <w:rPr>
          <w:rFonts w:hint="eastAsia"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巴中秦岭药业有限公司</w:t>
      </w:r>
      <w:r>
        <w:rPr>
          <w:rFonts w:hint="eastAsia" w:hAnsi="黑体"/>
          <w:color w:val="000000" w:themeColor="text1"/>
          <w:w w:val="100"/>
          <w:sz w:val="28"/>
          <w14:textFill>
            <w14:solidFill>
              <w14:schemeClr w14:val="tx1"/>
            </w14:solidFill>
          </w14:textFill>
        </w:rPr>
        <w:fldChar w:fldCharType="end"/>
      </w:r>
      <w:bookmarkEnd w:id="18"/>
      <w:r>
        <w:rPr>
          <w:rFonts w:ascii="Times New Roman"/>
          <w:color w:val="000000" w:themeColor="text1"/>
          <w:w w:val="100"/>
          <w:sz w:val="28"/>
          <w14:textFill>
            <w14:solidFill>
              <w14:schemeClr w14:val="tx1"/>
            </w14:solidFill>
          </w14:textFill>
        </w:rPr>
        <w:t>  </w:t>
      </w:r>
      <w:r>
        <w:rPr>
          <w:rStyle w:val="229"/>
          <w:rFonts w:hint="eastAsia" w:hAnsi="黑体"/>
          <w:color w:val="000000" w:themeColor="text1"/>
          <w:position w:val="0"/>
          <w14:textFill>
            <w14:solidFill>
              <w14:schemeClr w14:val="tx1"/>
            </w14:solidFill>
          </w14:textFill>
        </w:rPr>
        <w:t>发</w:t>
      </w:r>
      <w:r>
        <w:rPr>
          <w:rStyle w:val="229"/>
          <w:rFonts w:hint="eastAsia" w:hAnsi="黑体"/>
          <w:color w:val="000000" w:themeColor="text1"/>
          <w:spacing w:val="0"/>
          <w:position w:val="0"/>
          <w14:textFill>
            <w14:solidFill>
              <w14:schemeClr w14:val="tx1"/>
            </w14:solidFill>
          </w14:textFill>
        </w:rPr>
        <w:t>布</w:t>
      </w:r>
    </w:p>
    <w:p w14:paraId="3FF66F33">
      <w:pPr>
        <w:rPr>
          <w:rFonts w:hint="eastAsia" w:ascii="宋体" w:hAnsi="宋体"/>
          <w:color w:val="000000" w:themeColor="text1"/>
          <w:sz w:val="28"/>
          <w:szCs w:val="28"/>
          <w14:textFill>
            <w14:solidFill>
              <w14:schemeClr w14:val="tx1"/>
            </w14:solidFill>
          </w14:textFill>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C14CA52">
      <w:pPr>
        <w:pStyle w:val="91"/>
        <w:spacing w:after="468"/>
        <w:rPr>
          <w:color w:val="000000" w:themeColor="text1"/>
          <w14:textFill>
            <w14:solidFill>
              <w14:schemeClr w14:val="tx1"/>
            </w14:solidFill>
          </w14:textFill>
        </w:rPr>
      </w:pPr>
      <w:bookmarkStart w:id="19" w:name="BookMark1"/>
      <w:bookmarkStart w:id="20" w:name="_Toc163402062"/>
      <w:bookmarkStart w:id="21" w:name="_Toc161933525"/>
      <w:bookmarkStart w:id="22" w:name="_Toc161326828"/>
      <w:bookmarkStart w:id="23" w:name="_Toc161774291"/>
      <w:bookmarkStart w:id="24" w:name="_Toc207146225"/>
      <w:bookmarkStart w:id="25" w:name="_Toc207135076"/>
      <w:bookmarkStart w:id="26" w:name="_Toc207181548"/>
      <w:bookmarkStart w:id="27" w:name="_Toc161956023"/>
      <w:bookmarkStart w:id="28" w:name="_Toc210829625"/>
      <w:bookmarkStart w:id="29" w:name="_Toc163402435"/>
      <w:bookmarkStart w:id="30" w:name="_Toc155533993"/>
      <w:bookmarkStart w:id="31" w:name="_Toc161950526"/>
      <w:bookmarkStart w:id="32" w:name="_Toc162989492"/>
      <w:r>
        <w:rPr>
          <w:rFonts w:hint="eastAsia"/>
          <w:color w:val="000000" w:themeColor="text1"/>
          <w:spacing w:val="320"/>
          <w14:textFill>
            <w14:solidFill>
              <w14:schemeClr w14:val="tx1"/>
            </w14:solidFill>
          </w14:textFill>
        </w:rPr>
        <w:t>目</w:t>
      </w:r>
      <w:r>
        <w:rPr>
          <w:rFonts w:hint="eastAsia"/>
          <w:color w:val="000000" w:themeColor="text1"/>
          <w14:textFill>
            <w14:solidFill>
              <w14:schemeClr w14:val="tx1"/>
            </w14:solidFill>
          </w14:textFill>
        </w:rPr>
        <w:t>次</w:t>
      </w:r>
    </w:p>
    <w:p w14:paraId="6BA73AA5">
      <w:pPr>
        <w:pStyle w:val="19"/>
        <w:tabs>
          <w:tab w:val="right" w:leader="dot" w:pos="9344"/>
        </w:tabs>
        <w:rPr>
          <w:rFonts w:hint="eastAsia" w:ascii="宋体" w:hAnsi="宋体" w:eastAsia="宋体" w:cs="宋体"/>
          <w:sz w:val="22"/>
          <w:szCs w:val="24"/>
          <w14:ligatures w14:val="standardContextual"/>
        </w:rPr>
      </w:pPr>
      <w:r>
        <w:rPr>
          <w:rFonts w:hint="eastAsia" w:hAnsi="宋体" w:cs="宋体"/>
          <w:color w:val="000000" w:themeColor="text1"/>
          <w14:textFill>
            <w14:solidFill>
              <w14:schemeClr w14:val="tx1"/>
            </w14:solidFill>
          </w14:textFill>
        </w:rPr>
        <w:fldChar w:fldCharType="begin"/>
      </w:r>
      <w:r>
        <w:rPr>
          <w:rFonts w:hint="eastAsia" w:hAnsi="宋体" w:cs="宋体"/>
          <w:color w:val="000000" w:themeColor="text1"/>
          <w14:textFill>
            <w14:solidFill>
              <w14:schemeClr w14:val="tx1"/>
            </w14:solidFill>
          </w14:textFill>
        </w:rPr>
        <w:instrText xml:space="preserve"> TOC \o "1-1" \h </w:instrText>
      </w:r>
      <w:r>
        <w:rPr>
          <w:rFonts w:hint="eastAsia" w:hAnsi="宋体" w:cs="宋体"/>
          <w:color w:val="000000" w:themeColor="text1"/>
          <w14:textFill>
            <w14:solidFill>
              <w14:schemeClr w14:val="tx1"/>
            </w14:solidFill>
          </w14:textFill>
        </w:rPr>
        <w:fldChar w:fldCharType="separate"/>
      </w:r>
      <w:r>
        <w:rPr>
          <w:rFonts w:hint="eastAsia" w:ascii="宋体" w:hAnsi="宋体" w:cs="宋体"/>
        </w:rPr>
        <w:fldChar w:fldCharType="begin"/>
      </w:r>
      <w:r>
        <w:rPr>
          <w:rFonts w:hint="eastAsia" w:ascii="宋体" w:hAnsi="宋体" w:cs="宋体"/>
        </w:rPr>
        <w:instrText xml:space="preserve"> HYPERLINK \l "_Toc212634733" </w:instrText>
      </w:r>
      <w:r>
        <w:rPr>
          <w:rFonts w:hint="eastAsia" w:ascii="宋体" w:hAnsi="宋体" w:cs="宋体"/>
        </w:rPr>
        <w:fldChar w:fldCharType="separate"/>
      </w:r>
      <w:r>
        <w:rPr>
          <w:rStyle w:val="32"/>
          <w:rFonts w:hint="eastAsia" w:ascii="宋体" w:hAnsi="宋体" w:cs="宋体"/>
          <w:spacing w:val="320"/>
        </w:rPr>
        <w:t>前</w:t>
      </w:r>
      <w:r>
        <w:rPr>
          <w:rStyle w:val="32"/>
          <w:rFonts w:hint="eastAsia" w:ascii="宋体" w:hAnsi="宋体" w:cs="宋体"/>
        </w:rPr>
        <w:t>言</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_Toc212634733 \h </w:instrText>
      </w:r>
      <w:r>
        <w:rPr>
          <w:rFonts w:hint="eastAsia" w:ascii="宋体" w:hAnsi="宋体" w:cs="宋体"/>
        </w:rPr>
        <w:fldChar w:fldCharType="separate"/>
      </w:r>
      <w:r>
        <w:rPr>
          <w:rFonts w:hint="eastAsia" w:ascii="宋体" w:hAnsi="宋体" w:cs="宋体"/>
        </w:rPr>
        <w:t>I</w:t>
      </w:r>
      <w:r>
        <w:rPr>
          <w:rFonts w:hint="eastAsia" w:ascii="宋体" w:hAnsi="宋体" w:cs="宋体"/>
        </w:rPr>
        <w:fldChar w:fldCharType="end"/>
      </w:r>
      <w:r>
        <w:rPr>
          <w:rFonts w:hint="eastAsia" w:ascii="宋体" w:hAnsi="宋体" w:cs="宋体"/>
        </w:rPr>
        <w:fldChar w:fldCharType="end"/>
      </w:r>
    </w:p>
    <w:p w14:paraId="0981B0E0">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"_Toc212634734" </w:instrText>
      </w:r>
      <w:r>
        <w:rPr>
          <w:rFonts w:hint="eastAsia" w:ascii="宋体" w:hAnsi="宋体" w:cs="宋体"/>
        </w:rPr>
        <w:fldChar w:fldCharType="separate"/>
      </w:r>
      <w:r>
        <w:rPr>
          <w:rStyle w:val="32"/>
          <w:rFonts w:hint="eastAsia" w:ascii="宋体" w:hAnsi="宋体" w:cs="宋体"/>
          <w:spacing w:val="320"/>
        </w:rPr>
        <w:t>引</w:t>
      </w:r>
      <w:r>
        <w:rPr>
          <w:rStyle w:val="32"/>
          <w:rFonts w:hint="eastAsia" w:ascii="宋体" w:hAnsi="宋体" w:cs="宋体"/>
        </w:rPr>
        <w:t>言</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_Toc212634734 \h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r>
        <w:rPr>
          <w:rFonts w:hint="eastAsia" w:ascii="宋体" w:hAnsi="宋体" w:cs="宋体"/>
        </w:rPr>
        <w:fldChar w:fldCharType="end"/>
      </w:r>
    </w:p>
    <w:p w14:paraId="4F6B2843">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"_Toc212634735" </w:instrText>
      </w:r>
      <w:r>
        <w:rPr>
          <w:rFonts w:hint="eastAsia" w:ascii="宋体" w:hAnsi="宋体" w:cs="宋体"/>
        </w:rPr>
        <w:fldChar w:fldCharType="separate"/>
      </w:r>
      <w:r>
        <w:rPr>
          <w:rStyle w:val="32"/>
          <w:rFonts w:hint="eastAsia" w:ascii="宋体" w:hAnsi="宋体" w:cs="宋体"/>
        </w:rPr>
        <w:t>1 范围</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_Toc212634735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14:paraId="5CF47698">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"_Toc212634736" </w:instrText>
      </w:r>
      <w:r>
        <w:rPr>
          <w:rFonts w:hint="eastAsia" w:ascii="宋体" w:hAnsi="宋体" w:cs="宋体"/>
        </w:rPr>
        <w:fldChar w:fldCharType="separate"/>
      </w:r>
      <w:r>
        <w:rPr>
          <w:rStyle w:val="32"/>
          <w:rFonts w:hint="eastAsia" w:ascii="宋体" w:hAnsi="宋体" w:cs="宋体"/>
        </w:rPr>
        <w:t>2 规范性引用文件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_Toc212634736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14:paraId="29768068">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"_Toc212634737" </w:instrText>
      </w:r>
      <w:r>
        <w:rPr>
          <w:rFonts w:hint="eastAsia" w:ascii="宋体" w:hAnsi="宋体" w:cs="宋体"/>
        </w:rPr>
        <w:fldChar w:fldCharType="separate"/>
      </w:r>
      <w:r>
        <w:rPr>
          <w:rStyle w:val="32"/>
          <w:rFonts w:hint="eastAsia" w:ascii="宋体" w:hAnsi="宋体" w:cs="宋体"/>
        </w:rPr>
        <w:t>3 术语和定义</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_Toc212634737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14:paraId="4228F1CB">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"_Toc212634738" </w:instrText>
      </w:r>
      <w:r>
        <w:rPr>
          <w:rFonts w:hint="eastAsia" w:ascii="宋体" w:hAnsi="宋体" w:cs="宋体"/>
        </w:rPr>
        <w:fldChar w:fldCharType="separate"/>
      </w:r>
      <w:r>
        <w:rPr>
          <w:rStyle w:val="32"/>
          <w:rFonts w:hint="eastAsia" w:ascii="宋体" w:hAnsi="宋体" w:cs="宋体"/>
        </w:rPr>
        <w:t>4 追溯原则</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_Toc212634738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14:paraId="37D0D4AF">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"_Toc212634739" </w:instrText>
      </w:r>
      <w:r>
        <w:rPr>
          <w:rFonts w:hint="eastAsia" w:ascii="宋体" w:hAnsi="宋体" w:cs="宋体"/>
        </w:rPr>
        <w:fldChar w:fldCharType="separate"/>
      </w:r>
      <w:r>
        <w:rPr>
          <w:rStyle w:val="32"/>
          <w:rFonts w:hint="eastAsia" w:ascii="宋体" w:hAnsi="宋体" w:cs="宋体"/>
        </w:rPr>
        <w:t>5 基本要求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_Toc212634739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rPr>
        <w:fldChar w:fldCharType="end"/>
      </w:r>
    </w:p>
    <w:p w14:paraId="617C128B">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"_Toc212634740" </w:instrText>
      </w:r>
      <w:r>
        <w:rPr>
          <w:rFonts w:hint="eastAsia" w:ascii="宋体" w:hAnsi="宋体" w:cs="宋体"/>
        </w:rPr>
        <w:fldChar w:fldCharType="separate"/>
      </w:r>
      <w:r>
        <w:rPr>
          <w:rStyle w:val="32"/>
          <w:rFonts w:hint="eastAsia" w:ascii="宋体" w:hAnsi="宋体" w:cs="宋体"/>
        </w:rPr>
        <w:t>6 追溯信息采集内容</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_Toc212634740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14:paraId="6FE03795">
      <w:pPr>
        <w:pStyle w:val="19"/>
        <w:tabs>
          <w:tab w:val="right" w:leader="dot" w:pos="9344"/>
        </w:tabs>
        <w:rPr>
          <w:rFonts w:hint="eastAsia" w:ascii="宋体" w:hAnsi="宋体" w:eastAsia="宋体" w:cs="宋体"/>
          <w:sz w:val="22"/>
          <w:szCs w:val="24"/>
          <w14:ligatures w14:val="standardContextual"/>
        </w:rPr>
      </w:pPr>
      <w:r>
        <w:rPr>
          <w:rFonts w:hint="eastAsia" w:ascii="宋体" w:hAnsi="宋体" w:cs="宋体"/>
        </w:rPr>
        <w:fldChar w:fldCharType="begin"/>
      </w:r>
      <w:r>
        <w:rPr>
          <w:rFonts w:hint="eastAsia" w:ascii="宋体" w:hAnsi="宋体" w:cs="宋体"/>
        </w:rPr>
        <w:instrText xml:space="preserve"> HYPERLINK \l "_Toc212634741" </w:instrText>
      </w:r>
      <w:r>
        <w:rPr>
          <w:rFonts w:hint="eastAsia" w:ascii="宋体" w:hAnsi="宋体" w:cs="宋体"/>
        </w:rPr>
        <w:fldChar w:fldCharType="separate"/>
      </w:r>
      <w:r>
        <w:rPr>
          <w:rStyle w:val="32"/>
          <w:rFonts w:hint="eastAsia" w:ascii="宋体" w:hAnsi="宋体" w:cs="宋体"/>
        </w:rPr>
        <w:t>7 追溯信息管理</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_Toc212634741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14:paraId="6F731E0C">
      <w:pPr>
        <w:pStyle w:val="91"/>
        <w:spacing w:after="468"/>
        <w:rPr>
          <w:rFonts w:hint="eastAsia" w:ascii="宋体" w:hAnsi="宋体" w:eastAsia="宋体" w:cs="宋体"/>
          <w:color w:val="000000" w:themeColor="text1"/>
          <w14:textFill>
            <w14:solidFill>
              <w14:schemeClr w14:val="tx1"/>
            </w14:solidFill>
          </w14:textFill>
        </w:rPr>
        <w:sectPr>
          <w:headerReference r:id="rId10" w:type="default"/>
          <w:footerReference r:id="rId12" w:type="default"/>
          <w:headerReference r:id="rId11" w:type="even"/>
          <w:pgSz w:w="11906" w:h="16838"/>
          <w:pgMar w:top="1928"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color w:val="000000" w:themeColor="text1"/>
          <w14:textFill>
            <w14:solidFill>
              <w14:schemeClr w14:val="tx1"/>
            </w14:solidFill>
          </w14:textFill>
        </w:rPr>
        <w:fldChar w:fldCharType="end"/>
      </w:r>
    </w:p>
    <w:bookmarkEnd w:id="19"/>
    <w:p w14:paraId="2E54A201">
      <w:pPr>
        <w:pStyle w:val="89"/>
        <w:spacing w:before="900" w:after="468"/>
        <w:rPr>
          <w:color w:val="000000" w:themeColor="text1"/>
          <w14:textFill>
            <w14:solidFill>
              <w14:schemeClr w14:val="tx1"/>
            </w14:solidFill>
          </w14:textFill>
        </w:rPr>
      </w:pPr>
      <w:bookmarkStart w:id="33" w:name="_Toc212634733"/>
      <w:bookmarkStart w:id="34" w:name="_Toc210829725"/>
      <w:bookmarkStart w:id="35" w:name="BookMark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7FD7CCB6">
      <w:pPr>
        <w:pStyle w:val="56"/>
        <w:ind w:firstLine="420"/>
        <w:rPr>
          <w:color w:val="000000"/>
          <w:szCs w:val="24"/>
        </w:rPr>
      </w:pPr>
      <w:r>
        <w:rPr>
          <w:rFonts w:hint="eastAsia"/>
          <w:szCs w:val="24"/>
        </w:rPr>
        <w:t>本文件</w:t>
      </w:r>
      <w:r>
        <w:rPr>
          <w:rFonts w:hint="eastAsia"/>
          <w:color w:val="000000"/>
          <w:szCs w:val="24"/>
        </w:rPr>
        <w:t>参</w:t>
      </w:r>
      <w:r>
        <w:rPr>
          <w:rFonts w:hint="eastAsia"/>
          <w:szCs w:val="24"/>
        </w:rPr>
        <w:t>照GB/T 1.1—2020《标准化工作导则  第1部分：标准化文件的结构和起草规则》的规定</w:t>
      </w:r>
      <w:r>
        <w:rPr>
          <w:rFonts w:hint="eastAsia"/>
          <w:color w:val="000000"/>
          <w:szCs w:val="24"/>
        </w:rPr>
        <w:t>起草。</w:t>
      </w:r>
      <w:bookmarkStart w:id="36" w:name="_Hlk161133912"/>
    </w:p>
    <w:p w14:paraId="14D565D8">
      <w:pPr>
        <w:pStyle w:val="56"/>
        <w:ind w:firstLine="420"/>
        <w:rPr>
          <w:color w:val="000000"/>
          <w:szCs w:val="24"/>
        </w:rPr>
      </w:pPr>
      <w:r>
        <w:rPr>
          <w:rFonts w:hint="eastAsia"/>
          <w:color w:val="000000"/>
          <w:szCs w:val="24"/>
        </w:rPr>
        <w:t>本文件由巴中秦岭药业有限公司、</w:t>
      </w:r>
      <w:bookmarkStart w:id="37" w:name="_Hlk212634702"/>
      <w:r>
        <w:rPr>
          <w:rFonts w:hint="eastAsia" w:hAnsi="宋体"/>
          <w:szCs w:val="24"/>
        </w:rPr>
        <w:t>四川一爻良方健康药业有限公司</w:t>
      </w:r>
      <w:bookmarkEnd w:id="37"/>
      <w:r>
        <w:rPr>
          <w:rFonts w:hint="eastAsia" w:hAnsi="宋体"/>
          <w:szCs w:val="24"/>
        </w:rPr>
        <w:t>共同</w:t>
      </w:r>
      <w:r>
        <w:rPr>
          <w:rFonts w:hint="eastAsia"/>
          <w:color w:val="000000"/>
          <w:szCs w:val="24"/>
        </w:rPr>
        <w:t>提出并解释。</w:t>
      </w:r>
    </w:p>
    <w:bookmarkEnd w:id="36"/>
    <w:p w14:paraId="6F1679DB">
      <w:pPr>
        <w:pStyle w:val="56"/>
        <w:ind w:firstLine="420"/>
        <w:rPr>
          <w:szCs w:val="24"/>
        </w:rPr>
      </w:pPr>
      <w:r>
        <w:rPr>
          <w:rFonts w:hint="eastAsia"/>
          <w:szCs w:val="24"/>
        </w:rPr>
        <w:t>本文件起草单位：</w:t>
      </w:r>
      <w:r>
        <w:rPr>
          <w:rFonts w:hint="eastAsia" w:hAnsi="宋体"/>
          <w:szCs w:val="24"/>
        </w:rPr>
        <w:t>巴中秦岭药业有限公司</w:t>
      </w:r>
      <w:r>
        <w:rPr>
          <w:rFonts w:hint="eastAsia"/>
          <w:szCs w:val="24"/>
        </w:rPr>
        <w:t>、</w:t>
      </w:r>
      <w:r>
        <w:rPr>
          <w:rFonts w:hint="eastAsia" w:hAnsi="宋体"/>
          <w:szCs w:val="24"/>
        </w:rPr>
        <w:t>四川一爻良方健康药业有限公司、四川省中医药科学院。</w:t>
      </w:r>
    </w:p>
    <w:p w14:paraId="4C4DC483">
      <w:pPr>
        <w:pStyle w:val="56"/>
        <w:ind w:firstLine="420"/>
        <w:rPr>
          <w:rFonts w:hint="eastAsia" w:cs="宋体"/>
          <w:szCs w:val="21"/>
        </w:rPr>
      </w:pPr>
      <w:r>
        <w:rPr>
          <w:rFonts w:hint="eastAsia"/>
          <w:szCs w:val="24"/>
        </w:rPr>
        <w:t>本文件主要起草人：</w:t>
      </w:r>
      <w:r>
        <w:rPr>
          <w:rFonts w:hint="eastAsia" w:cs="宋体"/>
          <w:szCs w:val="21"/>
        </w:rPr>
        <w:t>李纲、岳衡、胡智勇、郭俊霞、李小海、曾建、谢容、张松林、吴萍、李青苗、王晓宇、杨安东、李春沁、汤燕、彭丽颖。</w:t>
      </w:r>
    </w:p>
    <w:p w14:paraId="0C62A143">
      <w:pPr>
        <w:pStyle w:val="56"/>
        <w:spacing w:beforeLines="0" w:afterLines="0"/>
        <w:ind w:firstLine="420"/>
        <w:rPr>
          <w:rFonts w:hint="eastAsia" w:cs="宋体"/>
          <w:szCs w:val="21"/>
        </w:rPr>
      </w:pPr>
      <w:r>
        <w:rPr>
          <w:rFonts w:hint="eastAsia"/>
        </w:rPr>
        <w:t>本文件及其所代替文件的历次版本发布情况为</w:t>
      </w:r>
      <w:r>
        <w:rPr>
          <w:rFonts w:hint="eastAsia"/>
          <w:lang w:eastAsia="zh-CN"/>
        </w:rPr>
        <w:t>：</w:t>
      </w:r>
    </w:p>
    <w:p w14:paraId="5E78BC77">
      <w:pPr>
        <w:pStyle w:val="56"/>
        <w:ind w:firstLine="420"/>
        <w:rPr>
          <w:szCs w:val="24"/>
        </w:rPr>
      </w:pPr>
      <w:bookmarkStart w:id="217" w:name="_GoBack"/>
      <w:r>
        <w:rPr>
          <w:rFonts w:hint="eastAsia"/>
        </w:rPr>
        <w:t>——</w:t>
      </w:r>
      <w:bookmarkEnd w:id="217"/>
      <w:r>
        <w:rPr>
          <w:rFonts w:hint="eastAsia"/>
          <w:szCs w:val="24"/>
        </w:rPr>
        <w:t>本文件为首次发布。</w:t>
      </w:r>
    </w:p>
    <w:p w14:paraId="58E30A21">
      <w:pPr>
        <w:pStyle w:val="56"/>
        <w:ind w:firstLine="420"/>
        <w:rPr>
          <w:szCs w:val="24"/>
        </w:rPr>
        <w:sectPr>
          <w:headerReference r:id="rId13" w:type="default"/>
          <w:footerReference r:id="rId14" w:type="default"/>
          <w:pgSz w:w="11906" w:h="16838"/>
          <w:pgMar w:top="1928" w:right="1134" w:bottom="1134" w:left="1134" w:header="1418" w:footer="1134" w:gutter="284"/>
          <w:pgNumType w:fmt="upperRoman" w:start="1"/>
          <w:cols w:space="720" w:num="1"/>
          <w:formProt w:val="0"/>
          <w:docGrid w:type="lines" w:linePitch="312" w:charSpace="0"/>
        </w:sectPr>
      </w:pPr>
    </w:p>
    <w:bookmarkEnd w:id="35"/>
    <w:p w14:paraId="19087938">
      <w:pPr>
        <w:pStyle w:val="89"/>
        <w:spacing w:after="468"/>
        <w:rPr>
          <w:color w:val="000000" w:themeColor="text1"/>
          <w14:textFill>
            <w14:solidFill>
              <w14:schemeClr w14:val="tx1"/>
            </w14:solidFill>
          </w14:textFill>
        </w:rPr>
      </w:pPr>
      <w:bookmarkStart w:id="38" w:name="_Toc161774292"/>
      <w:bookmarkStart w:id="39" w:name="_Toc207135077"/>
      <w:bookmarkStart w:id="40" w:name="_Toc161933526"/>
      <w:bookmarkStart w:id="41" w:name="_Toc207146226"/>
      <w:bookmarkStart w:id="42" w:name="_Toc163402063"/>
      <w:bookmarkStart w:id="43" w:name="_Toc207181549"/>
      <w:bookmarkStart w:id="44" w:name="_Toc161950527"/>
      <w:bookmarkStart w:id="45" w:name="_Toc210829726"/>
      <w:bookmarkStart w:id="46" w:name="_Toc155533994"/>
      <w:bookmarkStart w:id="47" w:name="_Toc161956024"/>
      <w:bookmarkStart w:id="48" w:name="_Toc212634734"/>
      <w:bookmarkStart w:id="49" w:name="_Toc210829626"/>
      <w:bookmarkStart w:id="50" w:name="_Toc162989493"/>
      <w:bookmarkStart w:id="51" w:name="_Toc163402436"/>
      <w:bookmarkStart w:id="52" w:name="_Toc161326829"/>
      <w:bookmarkStart w:id="53" w:name="BookMark3"/>
      <w:r>
        <w:rPr>
          <w:color w:val="000000" w:themeColor="text1"/>
          <w:spacing w:val="320"/>
          <w14:textFill>
            <w14:solidFill>
              <w14:schemeClr w14:val="tx1"/>
            </w14:solidFill>
          </w14:textFill>
        </w:rPr>
        <w:t>引</w:t>
      </w:r>
      <w:r>
        <w:rPr>
          <w:color w:val="000000" w:themeColor="text1"/>
          <w14:textFill>
            <w14:solidFill>
              <w14:schemeClr w14:val="tx1"/>
            </w14:solidFill>
          </w14:textFill>
        </w:rPr>
        <w:t>言</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751F1C07">
      <w:pPr>
        <w:widowControl/>
        <w:snapToGrid w:val="0"/>
        <w:spacing w:line="240" w:lineRule="auto"/>
        <w:ind w:firstLine="420" w:firstLineChars="200"/>
        <w:jc w:val="left"/>
        <w:rPr>
          <w:rFonts w:hint="eastAsia" w:ascii="宋体" w:hAnsi="宋体" w:cs="宋体"/>
          <w:color w:val="000000"/>
          <w:kern w:val="0"/>
        </w:rPr>
      </w:pPr>
      <w:bookmarkStart w:id="54" w:name="_Hlk161946426"/>
      <w:r>
        <w:rPr>
          <w:rFonts w:hint="eastAsia" w:ascii="宋体" w:hAnsi="宋体" w:cs="宋体"/>
          <w:color w:val="000000"/>
          <w:kern w:val="0"/>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45832BB5">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枳壳为芸香科植物酸橙（</w:t>
      </w:r>
      <w:r>
        <w:rPr>
          <w:rFonts w:hint="eastAsia" w:ascii="宋体" w:hAnsi="宋体" w:cs="宋体"/>
          <w:i/>
          <w:iCs/>
          <w:color w:val="000000"/>
          <w:kern w:val="0"/>
        </w:rPr>
        <w:t>Citrus aurantium</w:t>
      </w:r>
      <w:r>
        <w:rPr>
          <w:rFonts w:hint="eastAsia" w:ascii="宋体" w:hAnsi="宋体" w:cs="宋体"/>
          <w:color w:val="000000"/>
          <w:kern w:val="0"/>
        </w:rPr>
        <w:t xml:space="preserve">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54309FA3">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链生产技术规范及质量标准提升研究，共同起草制定了以下10个文件，用以指导枳壳生产。</w:t>
      </w:r>
    </w:p>
    <w:p w14:paraId="686904BB">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——1. 川产道地药材“三五二”工程 种苗标准 枳壳</w:t>
      </w:r>
    </w:p>
    <w:p w14:paraId="1FE775F1">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——2. 川产道地药材“三五二”工程 种苗繁育技术规范 枳壳</w:t>
      </w:r>
    </w:p>
    <w:p w14:paraId="0DA469A2">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——3. 川产道地药材“三五二”工程 种植技术规范 枳壳</w:t>
      </w:r>
    </w:p>
    <w:p w14:paraId="77751F79">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——4. 川产道地药材“三五二”工程 采收及产地初加工技术规范 枳壳</w:t>
      </w:r>
    </w:p>
    <w:p w14:paraId="63456AED">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——5. 川产道地药材“三五二”工程 产地趁鲜加工与炮制一体化技术规范 枳壳</w:t>
      </w:r>
    </w:p>
    <w:p w14:paraId="7923FD9B">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——6. 川产道地药材“三五二”工程 药材及饮片质量标准 枳壳</w:t>
      </w:r>
    </w:p>
    <w:p w14:paraId="74C518A5">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——7. 川产道地药材“三五二”工程 商品规格等级标准 枳壳</w:t>
      </w:r>
    </w:p>
    <w:p w14:paraId="484F5D2A">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——8. 川产道地药材“三五二”工程 包装贮藏运输技术规范 枳壳</w:t>
      </w:r>
    </w:p>
    <w:p w14:paraId="27B5EB67">
      <w:pPr>
        <w:widowControl/>
        <w:snapToGrid w:val="0"/>
        <w:spacing w:line="240" w:lineRule="auto"/>
        <w:ind w:firstLine="420" w:firstLineChars="200"/>
        <w:jc w:val="left"/>
        <w:rPr>
          <w:rFonts w:hint="eastAsia" w:ascii="宋体" w:hAnsi="宋体" w:cs="宋体"/>
          <w:color w:val="000000"/>
          <w:kern w:val="0"/>
        </w:rPr>
      </w:pPr>
      <w:r>
        <w:rPr>
          <w:rFonts w:hint="eastAsia" w:ascii="宋体" w:hAnsi="宋体" w:cs="宋体"/>
          <w:color w:val="000000"/>
          <w:kern w:val="0"/>
        </w:rPr>
        <w:t>——9. 川产道地药材“三五二”工程 质量追溯体系要求 枳壳</w:t>
      </w:r>
    </w:p>
    <w:p w14:paraId="09148B6A">
      <w:pPr>
        <w:snapToGrid w:val="0"/>
        <w:spacing w:line="240" w:lineRule="auto"/>
        <w:ind w:firstLine="420" w:firstLineChars="200"/>
        <w:rPr>
          <w:rFonts w:hint="eastAsia" w:ascii="宋体" w:hAnsi="宋体" w:cs="宋体"/>
          <w:color w:val="000000"/>
          <w:kern w:val="0"/>
        </w:rPr>
      </w:pPr>
      <w:r>
        <w:rPr>
          <w:rFonts w:hint="eastAsia" w:ascii="宋体" w:hAnsi="宋体" w:cs="宋体"/>
          <w:color w:val="000000"/>
          <w:kern w:val="0"/>
        </w:rPr>
        <w:t xml:space="preserve">——10. 川产道地药材“三五二”工程 川产道地药材备案申请表 </w:t>
      </w:r>
    </w:p>
    <w:p w14:paraId="74350F70">
      <w:pPr>
        <w:widowControl/>
        <w:autoSpaceDE w:val="0"/>
        <w:autoSpaceDN w:val="0"/>
        <w:spacing w:line="240" w:lineRule="auto"/>
        <w:ind w:firstLine="420" w:firstLineChars="200"/>
        <w:rPr>
          <w:rFonts w:hint="eastAsia" w:ascii="宋体" w:hAnsi="宋体" w:cs="宋体"/>
          <w:kern w:val="0"/>
          <w:szCs w:val="24"/>
        </w:rPr>
      </w:pPr>
      <w:r>
        <w:rPr>
          <w:rFonts w:hint="eastAsia" w:ascii="宋体" w:hAnsi="宋体" w:cs="宋体"/>
          <w:kern w:val="0"/>
          <w:szCs w:val="24"/>
        </w:rPr>
        <w:t>《川产道地药材“三五二”工程 质量追溯体系要求 枳壳》（</w:t>
      </w:r>
      <w:r>
        <w:rPr>
          <w:rFonts w:hint="eastAsia" w:ascii="宋体" w:hAnsi="宋体" w:cs="宋体"/>
          <w:kern w:val="0"/>
        </w:rPr>
        <w:t>Q/BQL 0009</w:t>
      </w:r>
      <w:r>
        <w:rPr>
          <w:rFonts w:hint="eastAsia" w:ascii="宋体" w:hAnsi="宋体" w:cs="宋体"/>
          <w:kern w:val="0"/>
          <w:szCs w:val="24"/>
        </w:rPr>
        <w:t>）对枳壳生产全过程进行追溯，建立了以“全程追溯、全面追溯、统一追溯、持续追溯”为原则的全产业链追溯体系。</w:t>
      </w:r>
    </w:p>
    <w:p w14:paraId="329E22CA">
      <w:pPr>
        <w:widowControl/>
        <w:autoSpaceDE w:val="0"/>
        <w:autoSpaceDN w:val="0"/>
        <w:spacing w:line="240" w:lineRule="auto"/>
        <w:ind w:firstLine="420" w:firstLineChars="200"/>
        <w:rPr>
          <w:rFonts w:ascii="宋体" w:hAnsi="Times New Roman"/>
          <w:kern w:val="0"/>
          <w:szCs w:val="24"/>
        </w:rPr>
      </w:pPr>
    </w:p>
    <w:p w14:paraId="77A976D2">
      <w:pPr>
        <w:widowControl/>
        <w:autoSpaceDE w:val="0"/>
        <w:autoSpaceDN w:val="0"/>
        <w:spacing w:line="240" w:lineRule="auto"/>
        <w:ind w:firstLine="420" w:firstLineChars="200"/>
        <w:rPr>
          <w:rFonts w:ascii="宋体" w:hAnsi="Times New Roman"/>
          <w:kern w:val="0"/>
          <w:szCs w:val="24"/>
        </w:rPr>
      </w:pPr>
    </w:p>
    <w:p w14:paraId="3B405585">
      <w:pPr>
        <w:widowControl/>
        <w:autoSpaceDE w:val="0"/>
        <w:autoSpaceDN w:val="0"/>
        <w:spacing w:line="240" w:lineRule="auto"/>
        <w:ind w:firstLine="420" w:firstLineChars="200"/>
        <w:rPr>
          <w:rFonts w:ascii="宋体" w:hAnsi="Times New Roman"/>
          <w:kern w:val="0"/>
          <w:szCs w:val="24"/>
        </w:rPr>
      </w:pPr>
    </w:p>
    <w:p w14:paraId="2E1D9347">
      <w:pPr>
        <w:widowControl/>
        <w:autoSpaceDE w:val="0"/>
        <w:autoSpaceDN w:val="0"/>
        <w:spacing w:line="240" w:lineRule="auto"/>
        <w:ind w:firstLine="420" w:firstLineChars="200"/>
        <w:rPr>
          <w:rFonts w:ascii="宋体" w:hAnsi="Times New Roman"/>
          <w:kern w:val="0"/>
          <w:szCs w:val="24"/>
        </w:rPr>
      </w:pPr>
    </w:p>
    <w:p w14:paraId="3FA7DAF7">
      <w:pPr>
        <w:widowControl/>
        <w:autoSpaceDE w:val="0"/>
        <w:autoSpaceDN w:val="0"/>
        <w:spacing w:line="240" w:lineRule="auto"/>
        <w:ind w:firstLine="420" w:firstLineChars="200"/>
        <w:rPr>
          <w:rFonts w:ascii="宋体" w:hAnsi="Times New Roman"/>
          <w:kern w:val="0"/>
          <w:szCs w:val="24"/>
        </w:rPr>
      </w:pPr>
    </w:p>
    <w:p w14:paraId="25881D35">
      <w:pPr>
        <w:widowControl/>
        <w:autoSpaceDE w:val="0"/>
        <w:autoSpaceDN w:val="0"/>
        <w:spacing w:line="240" w:lineRule="auto"/>
        <w:ind w:firstLine="420" w:firstLineChars="200"/>
        <w:rPr>
          <w:rFonts w:ascii="宋体" w:hAnsi="Times New Roman"/>
          <w:kern w:val="0"/>
          <w:szCs w:val="24"/>
        </w:rPr>
      </w:pPr>
    </w:p>
    <w:p w14:paraId="71D54E2C">
      <w:pPr>
        <w:widowControl/>
        <w:autoSpaceDE w:val="0"/>
        <w:autoSpaceDN w:val="0"/>
        <w:spacing w:line="240" w:lineRule="auto"/>
        <w:ind w:firstLine="420" w:firstLineChars="200"/>
        <w:rPr>
          <w:rFonts w:ascii="宋体" w:hAnsi="Times New Roman"/>
          <w:kern w:val="0"/>
          <w:szCs w:val="24"/>
        </w:rPr>
      </w:pPr>
    </w:p>
    <w:p w14:paraId="1F24D89C">
      <w:pPr>
        <w:widowControl/>
        <w:autoSpaceDE w:val="0"/>
        <w:autoSpaceDN w:val="0"/>
        <w:spacing w:line="240" w:lineRule="auto"/>
        <w:ind w:firstLine="420" w:firstLineChars="200"/>
        <w:rPr>
          <w:rFonts w:ascii="宋体" w:hAnsi="Times New Roman"/>
          <w:kern w:val="0"/>
          <w:szCs w:val="24"/>
        </w:rPr>
      </w:pPr>
    </w:p>
    <w:p w14:paraId="63969E6E">
      <w:pPr>
        <w:widowControl/>
        <w:autoSpaceDE w:val="0"/>
        <w:autoSpaceDN w:val="0"/>
        <w:spacing w:line="240" w:lineRule="auto"/>
        <w:ind w:firstLine="420" w:firstLineChars="200"/>
        <w:rPr>
          <w:rFonts w:ascii="宋体" w:hAnsi="Times New Roman"/>
          <w:kern w:val="0"/>
          <w:szCs w:val="24"/>
        </w:rPr>
      </w:pPr>
    </w:p>
    <w:p w14:paraId="2448BFEC">
      <w:pPr>
        <w:widowControl/>
        <w:autoSpaceDE w:val="0"/>
        <w:autoSpaceDN w:val="0"/>
        <w:spacing w:line="240" w:lineRule="auto"/>
        <w:ind w:firstLine="420" w:firstLineChars="200"/>
        <w:rPr>
          <w:rFonts w:ascii="宋体" w:hAnsi="Times New Roman"/>
          <w:kern w:val="0"/>
          <w:szCs w:val="24"/>
        </w:rPr>
      </w:pPr>
    </w:p>
    <w:p w14:paraId="15F79209">
      <w:pPr>
        <w:widowControl/>
        <w:autoSpaceDE w:val="0"/>
        <w:autoSpaceDN w:val="0"/>
        <w:spacing w:line="240" w:lineRule="auto"/>
        <w:ind w:firstLine="420" w:firstLineChars="200"/>
        <w:rPr>
          <w:rFonts w:ascii="宋体" w:hAnsi="Times New Roman"/>
          <w:kern w:val="0"/>
          <w:szCs w:val="24"/>
        </w:rPr>
      </w:pPr>
    </w:p>
    <w:p w14:paraId="55AA19D1">
      <w:pPr>
        <w:widowControl/>
        <w:autoSpaceDE w:val="0"/>
        <w:autoSpaceDN w:val="0"/>
        <w:spacing w:line="240" w:lineRule="auto"/>
        <w:ind w:firstLine="420" w:firstLineChars="200"/>
        <w:rPr>
          <w:rFonts w:ascii="宋体" w:hAnsi="Times New Roman"/>
          <w:kern w:val="0"/>
          <w:szCs w:val="24"/>
        </w:rPr>
      </w:pPr>
    </w:p>
    <w:p w14:paraId="79AD49C1">
      <w:pPr>
        <w:widowControl/>
        <w:autoSpaceDE w:val="0"/>
        <w:autoSpaceDN w:val="0"/>
        <w:spacing w:line="240" w:lineRule="auto"/>
        <w:ind w:firstLine="420" w:firstLineChars="200"/>
        <w:rPr>
          <w:rFonts w:ascii="宋体" w:hAnsi="Times New Roman"/>
          <w:kern w:val="0"/>
          <w:szCs w:val="24"/>
        </w:rPr>
      </w:pPr>
    </w:p>
    <w:bookmarkEnd w:id="53"/>
    <w:bookmarkEnd w:id="54"/>
    <w:p w14:paraId="07F3615C">
      <w:pPr>
        <w:spacing w:line="20" w:lineRule="exact"/>
        <w:jc w:val="center"/>
        <w:rPr>
          <w:rFonts w:hint="eastAsia" w:ascii="黑体" w:hAnsi="黑体" w:eastAsia="黑体"/>
          <w:color w:val="000000" w:themeColor="text1"/>
          <w:sz w:val="32"/>
          <w:szCs w:val="32"/>
          <w14:textFill>
            <w14:solidFill>
              <w14:schemeClr w14:val="tx1"/>
            </w14:solidFill>
          </w14:textFill>
        </w:rPr>
      </w:pPr>
      <w:bookmarkStart w:id="55" w:name="BookMark4"/>
    </w:p>
    <w:p w14:paraId="1EEABDCC">
      <w:pPr>
        <w:spacing w:line="20" w:lineRule="exact"/>
        <w:jc w:val="center"/>
        <w:rPr>
          <w:rFonts w:hint="eastAsia" w:ascii="黑体" w:hAnsi="黑体" w:eastAsia="黑体"/>
          <w:color w:val="000000" w:themeColor="text1"/>
          <w:sz w:val="32"/>
          <w:szCs w:val="32"/>
          <w14:textFill>
            <w14:solidFill>
              <w14:schemeClr w14:val="tx1"/>
            </w14:solidFill>
          </w14:textFill>
        </w:rPr>
      </w:pPr>
    </w:p>
    <w:p w14:paraId="2E7FF781">
      <w:pPr>
        <w:pStyle w:val="177"/>
        <w:spacing w:before="312" w:beforeLines="100" w:after="3" w:afterLines="1"/>
        <w:rPr>
          <w:rFonts w:hint="eastAsia"/>
          <w:color w:val="000000" w:themeColor="text1"/>
          <w14:textFill>
            <w14:solidFill>
              <w14:schemeClr w14:val="tx1"/>
            </w14:solidFill>
          </w14:textFill>
        </w:rPr>
        <w:sectPr>
          <w:footerReference r:id="rId15" w:type="default"/>
          <w:pgSz w:w="11906" w:h="16838"/>
          <w:pgMar w:top="1928" w:right="1134" w:bottom="1134" w:left="1134" w:header="1418" w:footer="1134" w:gutter="284"/>
          <w:pgNumType w:fmt="upperRoman"/>
          <w:cols w:space="425" w:num="1"/>
          <w:formProt w:val="0"/>
          <w:docGrid w:type="lines" w:linePitch="312" w:charSpace="0"/>
        </w:sectPr>
      </w:pPr>
    </w:p>
    <w:sdt>
      <w:sdtPr>
        <w:rPr>
          <w:color w:val="000000" w:themeColor="text1"/>
          <w14:textFill>
            <w14:solidFill>
              <w14:schemeClr w14:val="tx1"/>
            </w14:solidFill>
          </w14:textFill>
        </w:rPr>
        <w:tag w:val="NEW_STAND_NAME"/>
        <w:id w:val="595910757"/>
        <w:lock w:val="sdtLocked"/>
        <w:placeholder>
          <w:docPart w:val="0F458F4D92E446B5A3EC5EFFB6B7F777"/>
        </w:placeholder>
      </w:sdtPr>
      <w:sdtEndPr>
        <w:rPr>
          <w:color w:val="000000" w:themeColor="text1"/>
          <w14:textFill>
            <w14:solidFill>
              <w14:schemeClr w14:val="tx1"/>
            </w14:solidFill>
          </w14:textFill>
        </w:rPr>
      </w:sdtEndPr>
      <w:sdtContent>
        <w:p w14:paraId="7E46D2C5">
          <w:pPr>
            <w:pStyle w:val="177"/>
            <w:spacing w:before="312" w:beforeLines="100" w:after="3" w:afterLines="1"/>
            <w:rPr>
              <w:rFonts w:hint="eastAsia"/>
              <w:color w:val="000000" w:themeColor="text1"/>
              <w14:textFill>
                <w14:solidFill>
                  <w14:schemeClr w14:val="tx1"/>
                </w14:solidFill>
              </w14:textFill>
            </w:rPr>
          </w:pPr>
          <w:bookmarkStart w:id="56" w:name="NEW_STAND_NAME"/>
          <w:r>
            <w:rPr>
              <w:rFonts w:hint="eastAsia"/>
              <w:color w:val="000000" w:themeColor="text1"/>
              <w14:textFill>
                <w14:solidFill>
                  <w14:schemeClr w14:val="tx1"/>
                </w14:solidFill>
              </w14:textFill>
            </w:rPr>
            <w:t>川产道地药材“</w:t>
          </w:r>
          <w:r>
            <w:rPr>
              <w:color w:val="000000" w:themeColor="text1"/>
              <w14:textFill>
                <w14:solidFill>
                  <w14:schemeClr w14:val="tx1"/>
                </w14:solidFill>
              </w14:textFill>
            </w:rPr>
            <w:t>三五二</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工程</w:t>
          </w:r>
        </w:p>
        <w:p w14:paraId="7E10D7A2">
          <w:pPr>
            <w:pStyle w:val="177"/>
            <w:spacing w:before="3" w:beforeLines="1" w:after="3" w:afterLines="1"/>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质量追溯体系要求</w:t>
          </w:r>
        </w:p>
        <w:p w14:paraId="672D5CA8">
          <w:pPr>
            <w:pStyle w:val="177"/>
            <w:spacing w:before="3" w:beforeLines="1" w:after="6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枳壳</w:t>
          </w:r>
        </w:p>
      </w:sdtContent>
    </w:sdt>
    <w:bookmarkEnd w:id="56"/>
    <w:p w14:paraId="52488E25">
      <w:pPr>
        <w:pStyle w:val="104"/>
        <w:spacing w:before="312" w:after="312"/>
        <w:rPr>
          <w:color w:val="000000" w:themeColor="text1"/>
          <w14:textFill>
            <w14:solidFill>
              <w14:schemeClr w14:val="tx1"/>
            </w14:solidFill>
          </w14:textFill>
        </w:rPr>
      </w:pPr>
      <w:bookmarkStart w:id="57" w:name="_Toc207146227"/>
      <w:bookmarkStart w:id="58" w:name="_Toc163402437"/>
      <w:bookmarkStart w:id="59" w:name="_Toc163402064"/>
      <w:bookmarkStart w:id="60" w:name="_Toc17233325"/>
      <w:bookmarkStart w:id="61" w:name="_Toc161326830"/>
      <w:bookmarkStart w:id="62" w:name="_Toc155533995"/>
      <w:bookmarkStart w:id="63" w:name="_Toc161956025"/>
      <w:bookmarkStart w:id="64" w:name="_Toc161950528"/>
      <w:bookmarkStart w:id="65" w:name="_Toc210829627"/>
      <w:bookmarkStart w:id="66" w:name="_Toc24884211"/>
      <w:bookmarkStart w:id="67" w:name="_Toc207181550"/>
      <w:bookmarkStart w:id="68" w:name="_Toc210829727"/>
      <w:bookmarkStart w:id="69" w:name="_Toc207135078"/>
      <w:bookmarkStart w:id="70" w:name="_Toc26986530"/>
      <w:bookmarkStart w:id="71" w:name="_Toc212634735"/>
      <w:bookmarkStart w:id="72" w:name="_Toc98918883"/>
      <w:bookmarkStart w:id="73" w:name="_Toc162989494"/>
      <w:bookmarkStart w:id="74" w:name="_Toc161774293"/>
      <w:bookmarkStart w:id="75" w:name="_Toc26986771"/>
      <w:bookmarkStart w:id="76" w:name="_Toc161933527"/>
      <w:bookmarkStart w:id="77" w:name="_Toc24884218"/>
      <w:bookmarkStart w:id="78" w:name="_Toc17233333"/>
      <w:bookmarkStart w:id="79" w:name="_Toc26718930"/>
      <w:bookmarkStart w:id="80" w:name="_Toc26648465"/>
      <w:r>
        <w:rPr>
          <w:rFonts w:hint="eastAsia"/>
          <w:color w:val="000000" w:themeColor="text1"/>
          <w14:textFill>
            <w14:solidFill>
              <w14:schemeClr w14:val="tx1"/>
            </w14:solidFill>
          </w14:textFill>
        </w:rPr>
        <w:t>范围</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4481F79C">
      <w:pPr>
        <w:pStyle w:val="56"/>
        <w:ind w:firstLine="420"/>
        <w:rPr>
          <w:szCs w:val="24"/>
        </w:rPr>
      </w:pPr>
      <w:bookmarkStart w:id="81" w:name="_Toc24884219"/>
      <w:bookmarkStart w:id="82" w:name="_Toc24884212"/>
      <w:bookmarkStart w:id="83" w:name="_Toc17233334"/>
      <w:bookmarkStart w:id="84" w:name="_Toc17233326"/>
      <w:bookmarkStart w:id="85" w:name="_Toc26648466"/>
      <w:r>
        <w:rPr>
          <w:rFonts w:hint="eastAsia"/>
          <w:szCs w:val="24"/>
        </w:rPr>
        <w:t>本文件规定了枳壳（酸橙）质量追溯体系的术语和定义、追溯原则、基本要求、追溯信息采集内容及追溯信息管理。</w:t>
      </w:r>
    </w:p>
    <w:p w14:paraId="4904F12A">
      <w:pPr>
        <w:pStyle w:val="56"/>
        <w:ind w:firstLine="420"/>
        <w:rPr>
          <w:szCs w:val="24"/>
        </w:rPr>
      </w:pPr>
      <w:r>
        <w:rPr>
          <w:rFonts w:hint="eastAsia"/>
          <w:szCs w:val="24"/>
        </w:rPr>
        <w:t>本文件适用于巴中秦岭药业有限公司和四川一爻良方健康药业有限公司枳壳质量追溯体系建设。</w:t>
      </w:r>
    </w:p>
    <w:p w14:paraId="5DA4BBC3">
      <w:pPr>
        <w:pStyle w:val="104"/>
        <w:spacing w:before="312" w:after="312"/>
        <w:rPr>
          <w:color w:val="000000" w:themeColor="text1"/>
          <w14:textFill>
            <w14:solidFill>
              <w14:schemeClr w14:val="tx1"/>
            </w14:solidFill>
          </w14:textFill>
        </w:rPr>
      </w:pPr>
      <w:bookmarkStart w:id="86" w:name="_Toc161774294"/>
      <w:bookmarkStart w:id="87" w:name="_Toc161950529"/>
      <w:bookmarkStart w:id="88" w:name="_Toc161933528"/>
      <w:bookmarkStart w:id="89" w:name="_Toc207135079"/>
      <w:bookmarkStart w:id="90" w:name="_Toc212634736"/>
      <w:bookmarkStart w:id="91" w:name="_Toc26986772"/>
      <w:bookmarkStart w:id="92" w:name="_Toc26986531"/>
      <w:bookmarkStart w:id="93" w:name="_Toc207146228"/>
      <w:bookmarkStart w:id="94" w:name="_Toc161956026"/>
      <w:bookmarkStart w:id="95" w:name="_Toc162989495"/>
      <w:bookmarkStart w:id="96" w:name="_Toc207181551"/>
      <w:bookmarkStart w:id="97" w:name="_Toc210829628"/>
      <w:bookmarkStart w:id="98" w:name="_Toc210829728"/>
      <w:bookmarkStart w:id="99" w:name="_Toc155533996"/>
      <w:bookmarkStart w:id="100" w:name="_Toc163402438"/>
      <w:bookmarkStart w:id="101" w:name="_Toc26718931"/>
      <w:bookmarkStart w:id="102" w:name="_Toc98918884"/>
      <w:bookmarkStart w:id="103" w:name="_Toc161326831"/>
      <w:bookmarkStart w:id="104" w:name="_Toc163402065"/>
      <w:r>
        <w:rPr>
          <w:rFonts w:hint="eastAsia"/>
          <w:color w:val="000000" w:themeColor="text1"/>
          <w14:textFill>
            <w14:solidFill>
              <w14:schemeClr w14:val="tx1"/>
            </w14:solidFill>
          </w14:textFill>
        </w:rPr>
        <w:t>规范性引用文件</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sdt>
      <w:sdtPr>
        <w:rPr>
          <w:rFonts w:hint="eastAsia"/>
          <w:color w:val="000000" w:themeColor="text1"/>
          <w14:textFill>
            <w14:solidFill>
              <w14:schemeClr w14:val="tx1"/>
            </w14:solidFill>
          </w14:textFill>
        </w:rPr>
        <w:id w:val="715848253"/>
        <w:placeholder>
          <w:docPart w:val="E837B05808E7498F86E5F6546C81BDC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14:textFill>
            <w14:solidFill>
              <w14:schemeClr w14:val="tx1"/>
            </w14:solidFill>
          </w14:textFill>
        </w:rPr>
      </w:sdtEndPr>
      <w:sdtContent>
        <w:p w14:paraId="13C40A1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C33365">
      <w:pPr>
        <w:pStyle w:val="56"/>
        <w:ind w:firstLine="420"/>
        <w:rPr>
          <w:szCs w:val="24"/>
        </w:rPr>
      </w:pPr>
      <w:r>
        <w:rPr>
          <w:rFonts w:hint="eastAsia"/>
          <w:szCs w:val="24"/>
        </w:rPr>
        <w:t>GB/T 38155 重要产品追溯 追溯术语</w:t>
      </w:r>
    </w:p>
    <w:p w14:paraId="7597A83E">
      <w:pPr>
        <w:pStyle w:val="104"/>
        <w:spacing w:before="312" w:after="312"/>
        <w:rPr>
          <w:color w:val="000000" w:themeColor="text1"/>
          <w14:textFill>
            <w14:solidFill>
              <w14:schemeClr w14:val="tx1"/>
            </w14:solidFill>
          </w14:textFill>
        </w:rPr>
      </w:pPr>
      <w:bookmarkStart w:id="105" w:name="_Toc212634737"/>
      <w:bookmarkStart w:id="106" w:name="_Toc210829729"/>
      <w:bookmarkStart w:id="107" w:name="_Toc207181552"/>
      <w:bookmarkStart w:id="108" w:name="_Toc161956027"/>
      <w:bookmarkStart w:id="109" w:name="_Toc162989496"/>
      <w:bookmarkStart w:id="110" w:name="_Toc161774295"/>
      <w:bookmarkStart w:id="111" w:name="_Toc210829629"/>
      <w:bookmarkStart w:id="112" w:name="_Toc163402439"/>
      <w:bookmarkStart w:id="113" w:name="_Toc98918885"/>
      <w:bookmarkStart w:id="114" w:name="_Toc163402066"/>
      <w:bookmarkStart w:id="115" w:name="_Toc161933529"/>
      <w:bookmarkStart w:id="116" w:name="_Toc161326832"/>
      <w:bookmarkStart w:id="117" w:name="_Toc207146229"/>
      <w:bookmarkStart w:id="118" w:name="_Toc161950530"/>
      <w:bookmarkStart w:id="119" w:name="_Toc207135080"/>
      <w:bookmarkStart w:id="120" w:name="_Toc155533997"/>
      <w:r>
        <w:rPr>
          <w:rFonts w:hint="eastAsia"/>
          <w:color w:val="000000" w:themeColor="text1"/>
          <w:szCs w:val="21"/>
          <w14:textFill>
            <w14:solidFill>
              <w14:schemeClr w14:val="tx1"/>
            </w14:solidFill>
          </w14:textFill>
        </w:rPr>
        <w:t>术语和定义</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sdt>
      <w:sdtPr>
        <w:rPr>
          <w:rFonts w:hint="eastAsia" w:ascii="黑体" w:hAnsi="黑体" w:eastAsia="黑体"/>
          <w:color w:val="000000" w:themeColor="text1"/>
          <w14:textFill>
            <w14:solidFill>
              <w14:schemeClr w14:val="tx1"/>
            </w14:solidFill>
          </w14:textFill>
        </w:rPr>
        <w:id w:val="-1"/>
        <w:placeholder>
          <w:docPart w:val="0565D93B170A4672937AA45DC91C12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宋体" w:eastAsia="宋体" w:cs="宋体"/>
          <w:color w:val="000000" w:themeColor="text1"/>
          <w14:textFill>
            <w14:solidFill>
              <w14:schemeClr w14:val="tx1"/>
            </w14:solidFill>
          </w14:textFill>
        </w:rPr>
      </w:sdtEndPr>
      <w:sdtContent>
        <w:p w14:paraId="561E4AB5">
          <w:pPr>
            <w:pStyle w:val="223"/>
            <w:numPr>
              <w:ilvl w:val="0"/>
              <w:numId w:val="0"/>
            </w:numPr>
            <w:spacing w:line="360" w:lineRule="auto"/>
            <w:ind w:left="420"/>
            <w:rPr>
              <w:rFonts w:hint="eastAsia" w:ascii="宋体" w:hAnsi="宋体" w:eastAsia="宋体" w:cs="宋体"/>
              <w:color w:val="000000" w:themeColor="text1"/>
              <w14:textFill>
                <w14:solidFill>
                  <w14:schemeClr w14:val="tx1"/>
                </w14:solidFill>
              </w14:textFill>
            </w:rPr>
          </w:pPr>
          <w:bookmarkStart w:id="121" w:name="_Toc26986532"/>
          <w:bookmarkEnd w:id="121"/>
          <w:r>
            <w:rPr>
              <w:rFonts w:hint="eastAsia" w:ascii="宋体" w:hAnsi="宋体" w:eastAsia="宋体" w:cs="宋体"/>
              <w:color w:val="000000" w:themeColor="text1"/>
              <w14:textFill>
                <w14:solidFill>
                  <w14:schemeClr w14:val="tx1"/>
                </w14:solidFill>
              </w14:textFill>
            </w:rPr>
            <w:t>下列术语和定义适用于本文件。</w:t>
          </w:r>
        </w:p>
      </w:sdtContent>
    </w:sdt>
    <w:p w14:paraId="6324E914">
      <w:pPr>
        <w:pStyle w:val="56"/>
        <w:autoSpaceDE/>
        <w:autoSpaceDN/>
        <w:spacing w:before="157" w:beforeLines="50" w:after="157" w:afterLines="50" w:line="240" w:lineRule="auto"/>
        <w:ind w:firstLine="0" w:firstLineChars="0"/>
        <w:outlineLvl w:val="1"/>
        <w:rPr>
          <w:rFonts w:hint="eastAsia" w:ascii="黑体" w:hAnsi="黑体" w:eastAsia="黑体" w:cs="黑体"/>
          <w:szCs w:val="24"/>
        </w:rPr>
      </w:pPr>
      <w:bookmarkStart w:id="122" w:name="_Toc19507"/>
      <w:bookmarkStart w:id="123" w:name="_Toc2970"/>
      <w:bookmarkStart w:id="124" w:name="_Toc6155"/>
      <w:bookmarkStart w:id="125" w:name="_Toc50048066"/>
      <w:bookmarkStart w:id="126" w:name="_Toc25321"/>
      <w:bookmarkStart w:id="127" w:name="_Toc772"/>
      <w:bookmarkStart w:id="128" w:name="_Toc10022"/>
      <w:bookmarkStart w:id="129" w:name="_Toc11824"/>
      <w:bookmarkStart w:id="130" w:name="_Toc15088"/>
      <w:bookmarkStart w:id="131" w:name="_Toc50125013"/>
      <w:bookmarkStart w:id="132" w:name="_Toc22066"/>
      <w:bookmarkStart w:id="133" w:name="_Toc27315"/>
      <w:bookmarkStart w:id="134" w:name="_Toc1385"/>
      <w:bookmarkStart w:id="135" w:name="_Toc11478"/>
      <w:bookmarkStart w:id="136" w:name="_Toc161950531"/>
      <w:bookmarkStart w:id="137" w:name="_Toc161326833"/>
      <w:bookmarkStart w:id="138" w:name="_Toc161956028"/>
      <w:bookmarkStart w:id="139" w:name="_Toc155533998"/>
      <w:bookmarkStart w:id="140" w:name="_Toc161933530"/>
      <w:bookmarkStart w:id="141" w:name="_Toc162989497"/>
      <w:bookmarkStart w:id="142" w:name="_Toc161774296"/>
      <w:r>
        <w:rPr>
          <w:rFonts w:hint="eastAsia" w:ascii="黑体" w:hAnsi="黑体" w:eastAsia="黑体" w:cs="黑体"/>
          <w:szCs w:val="24"/>
        </w:rPr>
        <w:t>3.1</w:t>
      </w:r>
    </w:p>
    <w:p w14:paraId="1A0E909D">
      <w:pPr>
        <w:pStyle w:val="223"/>
        <w:numPr>
          <w:ilvl w:val="0"/>
          <w:numId w:val="0"/>
        </w:numPr>
        <w:spacing w:line="360" w:lineRule="auto"/>
        <w:ind w:firstLine="420" w:firstLineChars="200"/>
        <w:rPr>
          <w:rFonts w:hint="eastAsia" w:ascii="黑体" w:hAnsi="黑体" w:eastAsia="黑体"/>
          <w:szCs w:val="24"/>
        </w:rPr>
      </w:pPr>
      <w:bookmarkStart w:id="143" w:name="_Toc26486"/>
      <w:bookmarkStart w:id="144" w:name="_Toc31593"/>
      <w:r>
        <w:rPr>
          <w:rFonts w:hint="eastAsia" w:ascii="黑体" w:hAnsi="黑体" w:eastAsia="黑体"/>
          <w:szCs w:val="24"/>
        </w:rPr>
        <w:t>追溯体系 Traceability System</w:t>
      </w:r>
      <w:bookmarkEnd w:id="143"/>
      <w:bookmarkEnd w:id="144"/>
    </w:p>
    <w:p w14:paraId="3BCEA38A">
      <w:pPr>
        <w:pStyle w:val="232"/>
        <w:spacing w:line="240" w:lineRule="auto"/>
        <w:ind w:firstLine="420"/>
        <w:rPr>
          <w:rFonts w:ascii="Times New Roman"/>
          <w:szCs w:val="24"/>
        </w:rPr>
      </w:pPr>
      <w:r>
        <w:rPr>
          <w:rFonts w:hint="eastAsia"/>
          <w:szCs w:val="24"/>
        </w:rPr>
        <w:t>基于追溯码、文件记录、相关软硬件设备和通信网络，实现现代信息化管理并可获取产品追溯过程中相关数据的集成。</w:t>
      </w:r>
    </w:p>
    <w:p w14:paraId="0164AA12">
      <w:pPr>
        <w:widowControl/>
        <w:spacing w:before="157" w:beforeLines="50" w:after="157" w:afterLines="50" w:line="240" w:lineRule="auto"/>
        <w:ind w:left="0" w:leftChars="0" w:right="0" w:rightChars="0"/>
        <w:jc w:val="left"/>
        <w:outlineLvl w:val="1"/>
        <w:rPr>
          <w:rFonts w:hint="eastAsia" w:ascii="黑体" w:hAnsi="黑体" w:eastAsia="黑体" w:cs="黑体"/>
          <w:bCs/>
          <w:szCs w:val="24"/>
        </w:rPr>
      </w:pPr>
      <w:bookmarkStart w:id="145" w:name="_Toc1142"/>
      <w:bookmarkStart w:id="146" w:name="_Toc7606"/>
      <w:bookmarkStart w:id="147" w:name="_Toc27908"/>
      <w:bookmarkStart w:id="148" w:name="_Toc32526"/>
      <w:r>
        <w:rPr>
          <w:rFonts w:hint="eastAsia" w:ascii="黑体" w:hAnsi="黑体" w:eastAsia="黑体" w:cs="黑体"/>
          <w:bCs/>
          <w:szCs w:val="24"/>
        </w:rPr>
        <w:t xml:space="preserve">3.2  </w:t>
      </w:r>
    </w:p>
    <w:p w14:paraId="0DDD2C37">
      <w:pPr>
        <w:pStyle w:val="223"/>
        <w:numPr>
          <w:ilvl w:val="0"/>
          <w:numId w:val="0"/>
        </w:numPr>
        <w:spacing w:line="240" w:lineRule="auto"/>
        <w:rPr>
          <w:rFonts w:hint="eastAsia" w:ascii="黑体" w:hAnsi="黑体" w:eastAsia="黑体"/>
          <w:szCs w:val="24"/>
        </w:rPr>
      </w:pPr>
      <w:r>
        <w:rPr>
          <w:rFonts w:hint="eastAsia" w:ascii="黑体" w:hAnsi="黑体" w:eastAsia="黑体"/>
          <w:szCs w:val="24"/>
        </w:rPr>
        <w:t xml:space="preserve">    </w:t>
      </w:r>
      <w:bookmarkStart w:id="149" w:name="_Toc21024"/>
      <w:bookmarkStart w:id="150" w:name="_Toc8188"/>
      <w:r>
        <w:rPr>
          <w:rFonts w:hint="eastAsia" w:ascii="黑体" w:hAnsi="黑体" w:eastAsia="黑体"/>
          <w:szCs w:val="24"/>
        </w:rPr>
        <w:t>追溯标识 Traceability Code</w:t>
      </w:r>
      <w:bookmarkEnd w:id="149"/>
      <w:bookmarkEnd w:id="150"/>
    </w:p>
    <w:p w14:paraId="78F5EBE1">
      <w:pPr>
        <w:pStyle w:val="56"/>
        <w:spacing w:line="240" w:lineRule="auto"/>
        <w:ind w:firstLine="420"/>
        <w:rPr>
          <w:szCs w:val="24"/>
        </w:rPr>
      </w:pPr>
      <w:r>
        <w:rPr>
          <w:rFonts w:hint="eastAsia"/>
          <w:szCs w:val="24"/>
        </w:rPr>
        <w:t>用于标识追溯单元的唯一性符号或代码</w:t>
      </w:r>
      <w:bookmarkEnd w:id="145"/>
      <w:bookmarkEnd w:id="146"/>
      <w:bookmarkEnd w:id="147"/>
      <w:bookmarkEnd w:id="148"/>
      <w:r>
        <w:rPr>
          <w:rFonts w:hint="eastAsia"/>
          <w:szCs w:val="24"/>
        </w:rPr>
        <w:t>。</w:t>
      </w:r>
    </w:p>
    <w:p w14:paraId="0D672166">
      <w:pPr>
        <w:pStyle w:val="56"/>
        <w:autoSpaceDE/>
        <w:autoSpaceDN/>
        <w:spacing w:before="157" w:beforeLines="50" w:after="157" w:afterLines="50" w:line="240" w:lineRule="auto"/>
        <w:ind w:firstLine="0" w:firstLineChars="0"/>
        <w:outlineLvl w:val="1"/>
        <w:rPr>
          <w:rFonts w:hint="eastAsia" w:ascii="黑体" w:hAnsi="黑体" w:eastAsia="黑体" w:cs="黑体"/>
          <w:szCs w:val="24"/>
        </w:rPr>
      </w:pPr>
      <w:r>
        <w:rPr>
          <w:rFonts w:hint="eastAsia" w:ascii="黑体" w:hAnsi="黑体" w:eastAsia="黑体" w:cs="黑体"/>
          <w:szCs w:val="24"/>
        </w:rPr>
        <w:t xml:space="preserve">3.3 </w:t>
      </w:r>
    </w:p>
    <w:p w14:paraId="4878EB4B">
      <w:pPr>
        <w:pStyle w:val="56"/>
        <w:spacing w:beforeLines="0" w:afterLines="0" w:line="240" w:lineRule="auto"/>
        <w:ind w:firstLine="420" w:firstLineChars="0"/>
        <w:rPr>
          <w:rFonts w:hint="eastAsia" w:ascii="黑体" w:hAnsi="黑体" w:eastAsia="黑体"/>
          <w:b/>
          <w:szCs w:val="24"/>
        </w:rPr>
      </w:pPr>
      <w:r>
        <w:rPr>
          <w:rFonts w:hint="eastAsia" w:ascii="黑体" w:hAnsi="黑体" w:eastAsia="黑体" w:cs="黑体"/>
          <w:szCs w:val="24"/>
        </w:rPr>
        <w:t>枳壳 Aurantii Fructus</w:t>
      </w:r>
      <w:r>
        <w:rPr>
          <w:rFonts w:hint="eastAsia"/>
          <w:b/>
          <w:szCs w:val="24"/>
        </w:rPr>
        <w:t xml:space="preserve"> </w:t>
      </w:r>
    </w:p>
    <w:p w14:paraId="61E780A6">
      <w:pPr>
        <w:pStyle w:val="233"/>
        <w:numPr>
          <w:ilvl w:val="0"/>
          <w:numId w:val="0"/>
        </w:numPr>
        <w:tabs>
          <w:tab w:val="left" w:pos="420"/>
        </w:tabs>
        <w:spacing w:before="0" w:after="0" w:line="240" w:lineRule="auto"/>
        <w:ind w:firstLine="420" w:firstLineChars="200"/>
        <w:rPr>
          <w:rFonts w:ascii="Times New Roman"/>
        </w:rPr>
      </w:pPr>
      <w:r>
        <w:rPr>
          <w:rFonts w:ascii="Times New Roman"/>
        </w:rPr>
        <w:t>本品为芸香科植物酸橙</w:t>
      </w:r>
      <w:r>
        <w:rPr>
          <w:rFonts w:ascii="Times New Roman"/>
          <w:i/>
        </w:rPr>
        <w:t>Citrus aurantium</w:t>
      </w:r>
      <w:r>
        <w:rPr>
          <w:rFonts w:ascii="Times New Roman"/>
        </w:rPr>
        <w:t xml:space="preserve"> L.的干燥未成熟果实。</w:t>
      </w:r>
    </w:p>
    <w:p w14:paraId="68001E9D">
      <w:pPr>
        <w:pStyle w:val="223"/>
        <w:numPr>
          <w:ilvl w:val="-1"/>
          <w:numId w:val="0"/>
        </w:numPr>
        <w:spacing w:before="157" w:beforeLines="50" w:after="157" w:afterLines="50"/>
        <w:ind w:left="0" w:leftChars="0" w:firstLine="0" w:firstLineChars="0"/>
        <w:outlineLvl w:val="1"/>
        <w:rPr>
          <w:rFonts w:hint="eastAsia" w:ascii="黑体" w:hAnsi="黑体" w:eastAsia="黑体"/>
          <w:lang w:val="en-US" w:eastAsia="zh-CN"/>
        </w:rPr>
      </w:pPr>
      <w:r>
        <w:rPr>
          <w:rFonts w:hint="eastAsia" w:ascii="黑体" w:hAnsi="黑体" w:eastAsia="黑体"/>
          <w:lang w:val="en-US" w:eastAsia="zh-CN"/>
        </w:rPr>
        <w:t>3.4</w:t>
      </w:r>
    </w:p>
    <w:p w14:paraId="4F7DF93C">
      <w:pPr>
        <w:pStyle w:val="223"/>
        <w:numPr>
          <w:ilvl w:val="-1"/>
          <w:numId w:val="0"/>
        </w:numPr>
        <w:ind w:left="-420" w:leftChars="-200" w:firstLine="840" w:firstLineChars="400"/>
        <w:rPr>
          <w:rFonts w:hint="eastAsia" w:ascii="黑体" w:hAnsi="黑体" w:eastAsia="黑体"/>
        </w:rPr>
      </w:pPr>
      <w:r>
        <w:rPr>
          <w:rFonts w:hint="eastAsia" w:ascii="黑体" w:hAnsi="黑体" w:eastAsia="黑体"/>
        </w:rPr>
        <w:t xml:space="preserve">追溯参与方  </w:t>
      </w:r>
      <w:r>
        <w:rPr>
          <w:rFonts w:ascii="黑体" w:hAnsi="黑体" w:eastAsia="黑体"/>
        </w:rPr>
        <w:t>T</w:t>
      </w:r>
      <w:r>
        <w:rPr>
          <w:rFonts w:hint="eastAsia" w:ascii="黑体" w:hAnsi="黑体" w:eastAsia="黑体"/>
        </w:rPr>
        <w:t>r</w:t>
      </w:r>
      <w:r>
        <w:rPr>
          <w:rFonts w:ascii="黑体" w:hAnsi="黑体" w:eastAsia="黑体"/>
        </w:rPr>
        <w:t xml:space="preserve">aceability </w:t>
      </w:r>
      <w:r>
        <w:rPr>
          <w:rFonts w:hint="eastAsia" w:ascii="黑体" w:hAnsi="黑体" w:eastAsia="黑体"/>
        </w:rPr>
        <w:t>participant</w:t>
      </w:r>
    </w:p>
    <w:p w14:paraId="261ED274">
      <w:pPr>
        <w:pStyle w:val="56"/>
        <w:ind w:firstLine="420"/>
      </w:pPr>
      <w:r>
        <w:rPr>
          <w:rFonts w:hint="eastAsia"/>
        </w:rPr>
        <w:t>在供应链中从事产品初级生产、生产加工、包装、仓储、运输、配送、销售、消费(使用)等相关</w:t>
      </w:r>
    </w:p>
    <w:p w14:paraId="66BA73BE">
      <w:pPr>
        <w:pStyle w:val="56"/>
        <w:ind w:firstLine="0" w:firstLineChars="0"/>
        <w:rPr>
          <w:rFonts w:hint="eastAsia"/>
        </w:rPr>
      </w:pPr>
      <w:r>
        <w:rPr>
          <w:rFonts w:hint="eastAsia"/>
        </w:rPr>
        <w:t>业务的组织或个人。</w:t>
      </w:r>
    </w:p>
    <w:p w14:paraId="7590CB5D">
      <w:pPr>
        <w:pStyle w:val="223"/>
        <w:numPr>
          <w:ilvl w:val="0"/>
          <w:numId w:val="0"/>
        </w:numPr>
        <w:spacing w:before="157" w:beforeLines="50" w:after="157" w:afterLines="50"/>
        <w:ind w:left="0"/>
        <w:outlineLvl w:val="1"/>
        <w:rPr>
          <w:rFonts w:hint="eastAsia" w:ascii="黑体" w:hAnsi="黑体" w:eastAsia="黑体"/>
          <w:lang w:val="en-US" w:eastAsia="zh-CN"/>
        </w:rPr>
      </w:pPr>
      <w:r>
        <w:rPr>
          <w:rFonts w:hint="eastAsia" w:ascii="黑体" w:hAnsi="黑体" w:eastAsia="黑体"/>
          <w:lang w:val="en-US" w:eastAsia="zh-CN"/>
        </w:rPr>
        <w:t>3.5</w:t>
      </w:r>
    </w:p>
    <w:p w14:paraId="5E6F661F">
      <w:pPr>
        <w:pStyle w:val="223"/>
        <w:numPr>
          <w:ilvl w:val="0"/>
          <w:numId w:val="0"/>
        </w:numPr>
        <w:ind w:left="0" w:firstLine="420" w:firstLineChars="200"/>
        <w:rPr>
          <w:rFonts w:hint="eastAsia" w:ascii="黑体" w:hAnsi="黑体" w:eastAsia="黑体"/>
        </w:rPr>
      </w:pPr>
      <w:r>
        <w:rPr>
          <w:rFonts w:hint="eastAsia" w:ascii="黑体" w:hAnsi="黑体" w:eastAsia="黑体"/>
        </w:rPr>
        <w:t xml:space="preserve">追溯单元  </w:t>
      </w:r>
      <w:r>
        <w:rPr>
          <w:rFonts w:ascii="黑体" w:hAnsi="黑体" w:eastAsia="黑体"/>
        </w:rPr>
        <w:t>Traceability unit</w:t>
      </w:r>
    </w:p>
    <w:p w14:paraId="4F279E73">
      <w:pPr>
        <w:pStyle w:val="56"/>
        <w:ind w:firstLine="420"/>
      </w:pPr>
      <w:r>
        <w:rPr>
          <w:rFonts w:hint="eastAsia"/>
        </w:rPr>
        <w:t>需要对其历史、应用情况或所处位置的相关信息进行记录、标识并可追溯的单个产品、同一批次产</w:t>
      </w:r>
    </w:p>
    <w:p w14:paraId="415DDDD4">
      <w:pPr>
        <w:pStyle w:val="56"/>
        <w:ind w:firstLine="0" w:firstLineChars="0"/>
        <w:rPr>
          <w:rFonts w:hint="default" w:ascii="Times New Roman"/>
        </w:rPr>
      </w:pPr>
      <w:r>
        <w:rPr>
          <w:rFonts w:hint="eastAsia"/>
        </w:rPr>
        <w:t>品或同一品类产品。</w:t>
      </w:r>
    </w:p>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14:paraId="093F496F">
      <w:pPr>
        <w:pStyle w:val="104"/>
        <w:spacing w:before="312" w:after="312"/>
        <w:rPr>
          <w:szCs w:val="24"/>
        </w:rPr>
      </w:pPr>
      <w:bookmarkStart w:id="151" w:name="_Toc162086086"/>
      <w:bookmarkStart w:id="152" w:name="_Toc161842505"/>
      <w:bookmarkStart w:id="153" w:name="_Toc161960346"/>
      <w:bookmarkStart w:id="154" w:name="_Toc162968070"/>
      <w:bookmarkStart w:id="155" w:name="_Toc157793804"/>
      <w:bookmarkStart w:id="156" w:name="_Toc161950099"/>
      <w:bookmarkStart w:id="157" w:name="_Toc212634738"/>
      <w:bookmarkStart w:id="158" w:name="_Toc161931873"/>
      <w:bookmarkStart w:id="159" w:name="_Toc27628"/>
      <w:bookmarkStart w:id="160" w:name="_Toc21169"/>
      <w:bookmarkStart w:id="161" w:name="_Toc50048069"/>
      <w:bookmarkStart w:id="162" w:name="_Toc207181553"/>
      <w:bookmarkStart w:id="163" w:name="_Toc50125016"/>
      <w:bookmarkStart w:id="164" w:name="_Toc163402067"/>
      <w:bookmarkStart w:id="165" w:name="_Toc15766"/>
      <w:bookmarkStart w:id="166" w:name="_Toc29638"/>
      <w:bookmarkStart w:id="167" w:name="_Toc19715"/>
      <w:bookmarkStart w:id="168" w:name="_Toc210829730"/>
      <w:bookmarkStart w:id="169" w:name="_Toc29798"/>
      <w:bookmarkStart w:id="170" w:name="_Toc26449"/>
      <w:bookmarkStart w:id="171" w:name="_Toc207146230"/>
      <w:bookmarkStart w:id="172" w:name="_Toc210829630"/>
      <w:bookmarkStart w:id="173" w:name="_Toc11748"/>
      <w:bookmarkStart w:id="174" w:name="_Toc207135081"/>
      <w:bookmarkStart w:id="175" w:name="_Toc10516"/>
      <w:bookmarkStart w:id="176" w:name="_Toc163402440"/>
      <w:bookmarkStart w:id="177" w:name="_Toc10752"/>
      <w:bookmarkStart w:id="178" w:name="_Toc13537"/>
      <w:bookmarkStart w:id="179" w:name="_Toc28828"/>
      <w:bookmarkStart w:id="180" w:name="_Toc14452"/>
      <w:bookmarkStart w:id="181" w:name="_Toc4755"/>
      <w:bookmarkStart w:id="182" w:name="_Toc32380"/>
      <w:bookmarkStart w:id="183" w:name="_Toc9220"/>
      <w:bookmarkStart w:id="184" w:name="_Toc19084"/>
      <w:r>
        <w:rPr>
          <w:rFonts w:hint="eastAsia"/>
          <w:szCs w:val="24"/>
        </w:rPr>
        <w:t>追溯原则</w:t>
      </w:r>
      <w:bookmarkEnd w:id="151"/>
      <w:bookmarkEnd w:id="152"/>
      <w:bookmarkEnd w:id="153"/>
      <w:bookmarkEnd w:id="154"/>
      <w:bookmarkEnd w:id="155"/>
      <w:bookmarkEnd w:id="156"/>
      <w:bookmarkEnd w:id="157"/>
      <w:bookmarkEnd w:id="158"/>
    </w:p>
    <w:p w14:paraId="5BF0D4BB">
      <w:pPr>
        <w:pStyle w:val="105"/>
        <w:numPr>
          <w:ilvl w:val="-1"/>
          <w:numId w:val="0"/>
        </w:numPr>
        <w:spacing w:before="156" w:after="156"/>
        <w:rPr>
          <w:szCs w:val="24"/>
        </w:rPr>
      </w:pPr>
      <w:r>
        <w:rPr>
          <w:rFonts w:hint="eastAsia"/>
          <w:szCs w:val="24"/>
          <w:lang w:val="en-US" w:eastAsia="zh-CN"/>
        </w:rPr>
        <w:t xml:space="preserve">4.1  </w:t>
      </w:r>
      <w:r>
        <w:rPr>
          <w:rFonts w:hint="eastAsia"/>
          <w:szCs w:val="24"/>
        </w:rPr>
        <w:t>真实性</w:t>
      </w:r>
    </w:p>
    <w:p w14:paraId="411DE69F">
      <w:pPr>
        <w:pStyle w:val="56"/>
        <w:ind w:firstLine="420"/>
        <w:rPr>
          <w:szCs w:val="24"/>
        </w:rPr>
      </w:pPr>
      <w:bookmarkStart w:id="185" w:name="_Hlk155966007"/>
      <w:r>
        <w:rPr>
          <w:rFonts w:hint="eastAsia"/>
          <w:szCs w:val="24"/>
        </w:rPr>
        <w:t>追溯参与方在实施枳壳追溯时，应遵守信息真实性、完整性原则。</w:t>
      </w:r>
    </w:p>
    <w:bookmarkEnd w:id="185"/>
    <w:p w14:paraId="33252FB0">
      <w:pPr>
        <w:pStyle w:val="105"/>
        <w:numPr>
          <w:ilvl w:val="-1"/>
          <w:numId w:val="0"/>
        </w:numPr>
        <w:spacing w:before="156" w:after="156"/>
        <w:rPr>
          <w:szCs w:val="24"/>
        </w:rPr>
      </w:pPr>
      <w:r>
        <w:rPr>
          <w:rFonts w:hint="eastAsia"/>
          <w:szCs w:val="24"/>
          <w:lang w:val="en-US" w:eastAsia="zh-CN"/>
        </w:rPr>
        <w:t xml:space="preserve">4.2  </w:t>
      </w:r>
      <w:r>
        <w:rPr>
          <w:rFonts w:hint="eastAsia"/>
          <w:szCs w:val="24"/>
        </w:rPr>
        <w:t>兼容性</w:t>
      </w:r>
    </w:p>
    <w:p w14:paraId="34A3492E">
      <w:pPr>
        <w:pStyle w:val="56"/>
        <w:ind w:firstLine="420"/>
        <w:rPr>
          <w:rFonts w:hint="eastAsia"/>
          <w:szCs w:val="24"/>
        </w:rPr>
      </w:pPr>
      <w:bookmarkStart w:id="186" w:name="_Hlk155966051"/>
      <w:r>
        <w:rPr>
          <w:rFonts w:hint="eastAsia"/>
          <w:szCs w:val="24"/>
        </w:rPr>
        <w:t>在建立和实施枳壳的质量追溯体系时，应覆盖枳壳生产过程的全过程。</w:t>
      </w:r>
    </w:p>
    <w:p w14:paraId="2D066344">
      <w:pPr>
        <w:pStyle w:val="56"/>
        <w:spacing w:before="157" w:beforeLines="50" w:after="157" w:afterLines="50"/>
        <w:ind w:firstLine="0" w:firstLineChars="0"/>
        <w:outlineLvl w:val="1"/>
        <w:rPr>
          <w:rFonts w:hint="eastAsia" w:ascii="黑体" w:hAnsi="黑体" w:eastAsia="黑体" w:cs="黑体"/>
          <w:szCs w:val="24"/>
        </w:rPr>
      </w:pPr>
      <w:r>
        <w:rPr>
          <w:rFonts w:hint="eastAsia" w:ascii="黑体" w:hAnsi="黑体" w:eastAsia="黑体" w:cs="黑体"/>
          <w:szCs w:val="24"/>
          <w:lang w:val="en-US" w:eastAsia="zh-CN"/>
        </w:rPr>
        <w:t xml:space="preserve">4.3 </w:t>
      </w:r>
      <w:bookmarkEnd w:id="186"/>
      <w:r>
        <w:rPr>
          <w:rFonts w:hint="eastAsia" w:ascii="黑体" w:hAnsi="黑体" w:eastAsia="黑体" w:cs="黑体"/>
          <w:szCs w:val="24"/>
          <w:lang w:val="en-US" w:eastAsia="zh-CN"/>
        </w:rPr>
        <w:t xml:space="preserve"> </w:t>
      </w:r>
      <w:r>
        <w:rPr>
          <w:rFonts w:hint="eastAsia" w:ascii="黑体" w:hAnsi="黑体" w:eastAsia="黑体" w:cs="黑体"/>
          <w:szCs w:val="24"/>
        </w:rPr>
        <w:t>唯一性</w:t>
      </w:r>
    </w:p>
    <w:p w14:paraId="37FFE55E">
      <w:pPr>
        <w:pStyle w:val="56"/>
        <w:ind w:firstLine="420"/>
        <w:rPr>
          <w:szCs w:val="24"/>
        </w:rPr>
      </w:pPr>
      <w:bookmarkStart w:id="187" w:name="_Hlk155966057"/>
      <w:r>
        <w:rPr>
          <w:rFonts w:hint="eastAsia"/>
          <w:szCs w:val="24"/>
        </w:rPr>
        <w:t>枳壳质量体系中各级追溯单元的基本信息进行唯一编码和标识。</w:t>
      </w:r>
    </w:p>
    <w:bookmarkEnd w:id="187"/>
    <w:p w14:paraId="6F0F29D4">
      <w:pPr>
        <w:pStyle w:val="104"/>
        <w:spacing w:before="312" w:after="312"/>
        <w:rPr>
          <w:rFonts w:hint="eastAsia"/>
          <w:color w:val="000000" w:themeColor="text1"/>
          <w:szCs w:val="21"/>
          <w14:textFill>
            <w14:solidFill>
              <w14:schemeClr w14:val="tx1"/>
            </w14:solidFill>
          </w14:textFill>
        </w:rPr>
      </w:pPr>
      <w:bookmarkStart w:id="188" w:name="_Toc9508"/>
      <w:bookmarkStart w:id="189" w:name="_Toc28002"/>
      <w:bookmarkStart w:id="190" w:name="_Toc6606_WPSOffice_Level2"/>
      <w:bookmarkStart w:id="191" w:name="_Toc32261"/>
      <w:bookmarkStart w:id="192" w:name="_Toc22392"/>
      <w:bookmarkStart w:id="193" w:name="_Toc16624"/>
      <w:bookmarkStart w:id="194" w:name="_Toc7601"/>
      <w:bookmarkStart w:id="195" w:name="_Toc18320"/>
      <w:bookmarkStart w:id="196" w:name="_Toc14352"/>
      <w:bookmarkStart w:id="197" w:name="_Toc28368"/>
      <w:r>
        <w:rPr>
          <w:rFonts w:hint="eastAsia"/>
          <w:color w:val="000000" w:themeColor="text1"/>
          <w:szCs w:val="21"/>
          <w14:textFill>
            <w14:solidFill>
              <w14:schemeClr w14:val="tx1"/>
            </w14:solidFill>
          </w14:textFill>
        </w:rPr>
        <w:t xml:space="preserve"> </w:t>
      </w:r>
      <w:bookmarkEnd w:id="188"/>
      <w:bookmarkEnd w:id="189"/>
      <w:bookmarkEnd w:id="190"/>
      <w:bookmarkEnd w:id="191"/>
      <w:bookmarkEnd w:id="192"/>
      <w:bookmarkStart w:id="198" w:name="_Toc212634739"/>
      <w:r>
        <w:rPr>
          <w:rFonts w:hint="eastAsia"/>
          <w:color w:val="000000" w:themeColor="text1"/>
          <w:szCs w:val="21"/>
          <w14:textFill>
            <w14:solidFill>
              <w14:schemeClr w14:val="tx1"/>
            </w14:solidFill>
          </w14:textFill>
        </w:rPr>
        <w:t>基本要求</w:t>
      </w:r>
      <w:bookmarkEnd w:id="193"/>
      <w:bookmarkEnd w:id="194"/>
      <w:bookmarkEnd w:id="195"/>
      <w:bookmarkEnd w:id="196"/>
      <w:bookmarkEnd w:id="197"/>
      <w:bookmarkEnd w:id="198"/>
    </w:p>
    <w:p w14:paraId="33C48C53">
      <w:pPr>
        <w:pStyle w:val="65"/>
        <w:numPr>
          <w:ilvl w:val="0"/>
          <w:numId w:val="0"/>
        </w:numPr>
        <w:spacing w:before="156" w:after="156"/>
        <w:outlineLvl w:val="1"/>
        <w:rPr>
          <w:szCs w:val="24"/>
        </w:rPr>
      </w:pPr>
      <w:bookmarkStart w:id="199" w:name="_Toc19948"/>
      <w:bookmarkStart w:id="200" w:name="_Toc32064"/>
      <w:r>
        <w:rPr>
          <w:rFonts w:hint="eastAsia"/>
          <w:szCs w:val="24"/>
        </w:rPr>
        <w:t xml:space="preserve">5.1 </w:t>
      </w:r>
      <w:r>
        <w:rPr>
          <w:rFonts w:hint="eastAsia"/>
          <w:szCs w:val="24"/>
          <w:lang w:val="en-US" w:eastAsia="zh-CN"/>
        </w:rPr>
        <w:t xml:space="preserve"> </w:t>
      </w:r>
      <w:r>
        <w:rPr>
          <w:rFonts w:hint="eastAsia"/>
          <w:szCs w:val="24"/>
        </w:rPr>
        <w:t>追溯管理制度</w:t>
      </w:r>
      <w:bookmarkEnd w:id="199"/>
      <w:bookmarkEnd w:id="200"/>
    </w:p>
    <w:p w14:paraId="16480B9F">
      <w:pPr>
        <w:pStyle w:val="56"/>
        <w:spacing w:line="240" w:lineRule="auto"/>
        <w:ind w:firstLine="420"/>
        <w:rPr>
          <w:szCs w:val="24"/>
        </w:rPr>
      </w:pPr>
      <w:r>
        <w:rPr>
          <w:rFonts w:hint="eastAsia"/>
          <w:szCs w:val="24"/>
        </w:rPr>
        <w:t>企业应制定追溯管理制度，包括追溯目标、追溯品种、追溯流程、追溯内容、操作人员、人员培训、检查评审等制度与文件。</w:t>
      </w:r>
    </w:p>
    <w:p w14:paraId="64F28077">
      <w:pPr>
        <w:pStyle w:val="56"/>
        <w:autoSpaceDE/>
        <w:autoSpaceDN/>
        <w:spacing w:before="157" w:beforeLines="50" w:after="157" w:afterLines="50" w:line="240" w:lineRule="auto"/>
        <w:ind w:firstLine="0" w:firstLineChars="0"/>
        <w:outlineLvl w:val="1"/>
        <w:rPr>
          <w:rFonts w:hint="eastAsia" w:ascii="黑体" w:hAnsi="黑体" w:eastAsia="黑体" w:cs="黑体"/>
          <w:szCs w:val="24"/>
        </w:rPr>
      </w:pPr>
      <w:r>
        <w:rPr>
          <w:rFonts w:hint="eastAsia" w:ascii="黑体" w:hAnsi="黑体" w:eastAsia="黑体" w:cs="黑体"/>
          <w:szCs w:val="24"/>
        </w:rPr>
        <w:t xml:space="preserve">5.2 </w:t>
      </w:r>
      <w:r>
        <w:rPr>
          <w:rFonts w:hint="eastAsia" w:ascii="黑体" w:hAnsi="黑体" w:eastAsia="黑体" w:cs="黑体"/>
          <w:szCs w:val="24"/>
          <w:lang w:val="en-US" w:eastAsia="zh-CN"/>
        </w:rPr>
        <w:t xml:space="preserve"> </w:t>
      </w:r>
      <w:r>
        <w:rPr>
          <w:rFonts w:hint="eastAsia" w:ascii="黑体" w:hAnsi="黑体" w:eastAsia="黑体" w:cs="黑体"/>
          <w:szCs w:val="24"/>
        </w:rPr>
        <w:t>人员培训</w:t>
      </w:r>
    </w:p>
    <w:p w14:paraId="46374DCA">
      <w:pPr>
        <w:pStyle w:val="56"/>
        <w:spacing w:line="240" w:lineRule="auto"/>
        <w:ind w:firstLine="420"/>
        <w:rPr>
          <w:szCs w:val="24"/>
        </w:rPr>
      </w:pPr>
      <w:r>
        <w:rPr>
          <w:rFonts w:hint="eastAsia"/>
          <w:szCs w:val="24"/>
        </w:rPr>
        <w:t>企业应提供有效的追溯培训与措施，确定培训的方式与频次，以确保追溯工作人员能够胜任，培训的内容包括但不限于:</w:t>
      </w:r>
    </w:p>
    <w:p w14:paraId="52B02230">
      <w:pPr>
        <w:pStyle w:val="56"/>
        <w:ind w:firstLine="0" w:firstLineChars="0"/>
        <w:rPr>
          <w:szCs w:val="24"/>
        </w:rPr>
      </w:pPr>
      <w:r>
        <w:rPr>
          <w:rFonts w:hint="eastAsia"/>
          <w:szCs w:val="24"/>
        </w:rPr>
        <w:t>——与追溯相关的国家与地方法律法规；</w:t>
      </w:r>
    </w:p>
    <w:p w14:paraId="4A1C632E">
      <w:pPr>
        <w:pStyle w:val="56"/>
        <w:ind w:firstLine="0" w:firstLineChars="0"/>
        <w:rPr>
          <w:szCs w:val="24"/>
        </w:rPr>
      </w:pPr>
      <w:r>
        <w:rPr>
          <w:rFonts w:hint="eastAsia"/>
          <w:szCs w:val="24"/>
        </w:rPr>
        <w:t>——与追溯相关的标准、规范与指南等；</w:t>
      </w:r>
    </w:p>
    <w:p w14:paraId="3E15AA16">
      <w:pPr>
        <w:pStyle w:val="56"/>
        <w:ind w:firstLine="0" w:firstLineChars="0"/>
        <w:rPr>
          <w:szCs w:val="24"/>
        </w:rPr>
      </w:pPr>
      <w:r>
        <w:rPr>
          <w:rFonts w:hint="eastAsia"/>
          <w:szCs w:val="24"/>
        </w:rPr>
        <w:t>——与追溯相关的企业内部管理制度、岗位职责、产品质量标准及文件和记录要求等；</w:t>
      </w:r>
    </w:p>
    <w:p w14:paraId="602AE7AE">
      <w:pPr>
        <w:pStyle w:val="56"/>
        <w:ind w:firstLine="0" w:firstLineChars="0"/>
        <w:rPr>
          <w:szCs w:val="24"/>
        </w:rPr>
      </w:pPr>
      <w:r>
        <w:rPr>
          <w:rFonts w:hint="eastAsia"/>
          <w:szCs w:val="24"/>
        </w:rPr>
        <w:t>——追溯内容审核和改进；</w:t>
      </w:r>
    </w:p>
    <w:p w14:paraId="6906E84F">
      <w:pPr>
        <w:pStyle w:val="56"/>
        <w:ind w:firstLine="0" w:firstLineChars="0"/>
        <w:rPr>
          <w:szCs w:val="24"/>
        </w:rPr>
      </w:pPr>
      <w:r>
        <w:rPr>
          <w:rFonts w:hint="eastAsia"/>
          <w:szCs w:val="24"/>
        </w:rPr>
        <w:t>——其他相关内容。</w:t>
      </w:r>
    </w:p>
    <w:p w14:paraId="490B0055">
      <w:pPr>
        <w:pStyle w:val="105"/>
        <w:numPr>
          <w:ilvl w:val="0"/>
          <w:numId w:val="0"/>
        </w:numPr>
        <w:spacing w:before="156" w:after="156"/>
        <w:rPr>
          <w:szCs w:val="24"/>
        </w:rPr>
      </w:pPr>
      <w:bookmarkStart w:id="201" w:name="_Toc2291"/>
      <w:bookmarkStart w:id="202" w:name="_Toc17012"/>
      <w:bookmarkStart w:id="203" w:name="_Toc3912"/>
      <w:bookmarkStart w:id="204" w:name="_Toc9458"/>
      <w:bookmarkStart w:id="205" w:name="_Toc6732"/>
      <w:bookmarkStart w:id="206" w:name="_Toc6695"/>
      <w:r>
        <w:rPr>
          <w:rFonts w:hint="eastAsia" w:hAnsi="黑体" w:cs="黑体"/>
          <w:szCs w:val="21"/>
        </w:rPr>
        <w:t xml:space="preserve">5.3 </w:t>
      </w:r>
      <w:r>
        <w:rPr>
          <w:rFonts w:hint="eastAsia" w:hAnsi="黑体" w:cs="黑体"/>
          <w:szCs w:val="21"/>
          <w:lang w:val="en-US" w:eastAsia="zh-CN"/>
        </w:rPr>
        <w:t xml:space="preserve"> </w:t>
      </w:r>
      <w:r>
        <w:rPr>
          <w:rFonts w:hint="eastAsia"/>
          <w:szCs w:val="24"/>
        </w:rPr>
        <w:t>建设要求</w:t>
      </w:r>
    </w:p>
    <w:p w14:paraId="46188A5B">
      <w:pPr>
        <w:pStyle w:val="65"/>
        <w:numPr>
          <w:ilvl w:val="0"/>
          <w:numId w:val="0"/>
        </w:numPr>
        <w:spacing w:before="156" w:after="156"/>
        <w:rPr>
          <w:szCs w:val="24"/>
        </w:rPr>
      </w:pPr>
      <w:r>
        <w:rPr>
          <w:rFonts w:hint="eastAsia"/>
          <w:szCs w:val="24"/>
        </w:rPr>
        <w:t xml:space="preserve">5.3.1 </w:t>
      </w:r>
      <w:r>
        <w:rPr>
          <w:rFonts w:hint="eastAsia"/>
          <w:szCs w:val="24"/>
          <w:lang w:val="en-US" w:eastAsia="zh-CN"/>
        </w:rPr>
        <w:t xml:space="preserve"> </w:t>
      </w:r>
      <w:r>
        <w:rPr>
          <w:rFonts w:hint="eastAsia"/>
          <w:szCs w:val="24"/>
        </w:rPr>
        <w:t>追溯数据集成</w:t>
      </w:r>
    </w:p>
    <w:p w14:paraId="368097DB">
      <w:pPr>
        <w:pStyle w:val="56"/>
        <w:ind w:firstLine="420"/>
        <w:rPr>
          <w:szCs w:val="24"/>
        </w:rPr>
      </w:pPr>
      <w:r>
        <w:rPr>
          <w:rFonts w:hint="eastAsia"/>
          <w:szCs w:val="24"/>
        </w:rPr>
        <w:t>遵照药品追溯数据消费者查询相关标准的规定，对枳壳药材及饮片生产过程所记录的所有数据信息进行集成，能够配合药品追溯协同服务平台提供和自行提供基于网页和移动终端的追溯结果展示。同时，应具备根据监管需求为监管部门提供追溯数据查询功能。</w:t>
      </w:r>
    </w:p>
    <w:p w14:paraId="7E4E7B61">
      <w:pPr>
        <w:pStyle w:val="65"/>
        <w:numPr>
          <w:ilvl w:val="0"/>
          <w:numId w:val="0"/>
        </w:numPr>
        <w:spacing w:before="156" w:after="156"/>
        <w:rPr>
          <w:szCs w:val="24"/>
        </w:rPr>
      </w:pPr>
      <w:r>
        <w:rPr>
          <w:rFonts w:hint="eastAsia"/>
          <w:szCs w:val="24"/>
        </w:rPr>
        <w:t xml:space="preserve">5.3.2 </w:t>
      </w:r>
      <w:r>
        <w:rPr>
          <w:rFonts w:hint="eastAsia"/>
          <w:szCs w:val="24"/>
          <w:lang w:val="en-US" w:eastAsia="zh-CN"/>
        </w:rPr>
        <w:t xml:space="preserve"> </w:t>
      </w:r>
      <w:r>
        <w:rPr>
          <w:rFonts w:hint="eastAsia"/>
          <w:szCs w:val="24"/>
        </w:rPr>
        <w:t>部署环境要求</w:t>
      </w:r>
    </w:p>
    <w:p w14:paraId="23E03BBD">
      <w:pPr>
        <w:pStyle w:val="56"/>
        <w:ind w:firstLine="420"/>
        <w:rPr>
          <w:szCs w:val="24"/>
        </w:rPr>
      </w:pPr>
      <w:r>
        <w:rPr>
          <w:rFonts w:hint="eastAsia"/>
          <w:szCs w:val="24"/>
        </w:rPr>
        <w:t>应使用数据库系统，具有一定数据的存储、加工处理能力，具有配套高可用性集群解决方案，以保障追溯体系的稳定运行。</w:t>
      </w:r>
    </w:p>
    <w:p w14:paraId="6C60931B">
      <w:pPr>
        <w:pStyle w:val="65"/>
        <w:numPr>
          <w:ilvl w:val="0"/>
          <w:numId w:val="0"/>
        </w:numPr>
        <w:spacing w:before="156" w:after="156"/>
        <w:rPr>
          <w:szCs w:val="24"/>
        </w:rPr>
      </w:pPr>
      <w:r>
        <w:rPr>
          <w:rFonts w:hint="eastAsia"/>
          <w:szCs w:val="24"/>
        </w:rPr>
        <w:t xml:space="preserve">5.3.3 </w:t>
      </w:r>
      <w:r>
        <w:rPr>
          <w:rFonts w:hint="eastAsia"/>
          <w:szCs w:val="24"/>
          <w:lang w:val="en-US" w:eastAsia="zh-CN"/>
        </w:rPr>
        <w:t xml:space="preserve"> </w:t>
      </w:r>
      <w:r>
        <w:rPr>
          <w:rFonts w:hint="eastAsia"/>
          <w:szCs w:val="24"/>
        </w:rPr>
        <w:t>模块化集成设计</w:t>
      </w:r>
    </w:p>
    <w:p w14:paraId="4FF85DA8">
      <w:pPr>
        <w:pStyle w:val="105"/>
        <w:numPr>
          <w:ilvl w:val="0"/>
          <w:numId w:val="0"/>
        </w:numPr>
        <w:spacing w:before="156" w:after="156"/>
        <w:ind w:firstLine="420" w:firstLineChars="200"/>
        <w:rPr>
          <w:rFonts w:hint="eastAsia" w:ascii="宋体" w:hAnsi="宋体" w:eastAsia="宋体" w:cs="宋体"/>
          <w:szCs w:val="21"/>
        </w:rPr>
      </w:pPr>
      <w:r>
        <w:rPr>
          <w:rFonts w:hint="eastAsia" w:ascii="宋体" w:hAnsi="宋体" w:eastAsia="宋体" w:cs="宋体"/>
          <w:szCs w:val="24"/>
        </w:rPr>
        <w:t>应采用模块化结构设计，将相关功能设计模块化，便于系统软硬件和网络的集成。</w:t>
      </w:r>
    </w:p>
    <w:p w14:paraId="062DD0C6">
      <w:pPr>
        <w:spacing w:before="157" w:beforeLines="50" w:after="157" w:afterLines="50" w:line="240" w:lineRule="auto"/>
        <w:outlineLvl w:val="1"/>
        <w:rPr>
          <w:rFonts w:hint="eastAsia" w:ascii="黑体" w:hAnsi="黑体" w:eastAsia="黑体" w:cs="黑体"/>
        </w:rPr>
      </w:pPr>
      <w:r>
        <w:rPr>
          <w:rFonts w:hint="eastAsia" w:ascii="黑体" w:hAnsi="黑体" w:eastAsia="黑体" w:cs="黑体"/>
        </w:rPr>
        <w:t xml:space="preserve">5.4 </w:t>
      </w:r>
      <w:r>
        <w:rPr>
          <w:rFonts w:hint="eastAsia" w:ascii="黑体" w:hAnsi="黑体" w:eastAsia="黑体" w:cs="黑体"/>
          <w:lang w:val="en-US" w:eastAsia="zh-CN"/>
        </w:rPr>
        <w:t xml:space="preserve"> </w:t>
      </w:r>
      <w:r>
        <w:rPr>
          <w:rFonts w:hint="eastAsia" w:ascii="黑体" w:hAnsi="黑体" w:eastAsia="黑体" w:cs="黑体"/>
          <w:szCs w:val="22"/>
        </w:rPr>
        <w:t>系统的安全性要求</w:t>
      </w:r>
    </w:p>
    <w:p w14:paraId="26AEEE22">
      <w:pPr>
        <w:spacing w:before="157" w:beforeLines="50" w:after="157" w:afterLines="50" w:line="240" w:lineRule="auto"/>
        <w:outlineLvl w:val="2"/>
        <w:rPr>
          <w:rFonts w:hint="eastAsia" w:ascii="黑体" w:hAnsi="黑体" w:eastAsia="黑体" w:cs="黑体"/>
        </w:rPr>
      </w:pPr>
      <w:r>
        <w:rPr>
          <w:rFonts w:hint="eastAsia" w:ascii="黑体" w:hAnsi="黑体" w:eastAsia="黑体" w:cs="黑体"/>
        </w:rPr>
        <w:t xml:space="preserve">5.4.1 </w:t>
      </w:r>
      <w:r>
        <w:rPr>
          <w:rFonts w:hint="eastAsia" w:ascii="黑体" w:hAnsi="黑体" w:eastAsia="黑体" w:cs="黑体"/>
          <w:lang w:val="en-US" w:eastAsia="zh-CN"/>
        </w:rPr>
        <w:t xml:space="preserve"> </w:t>
      </w:r>
      <w:r>
        <w:rPr>
          <w:rFonts w:hint="eastAsia" w:ascii="黑体" w:hAnsi="黑体" w:eastAsia="黑体" w:cs="黑体"/>
        </w:rPr>
        <w:t>程序软件安全要求</w:t>
      </w:r>
    </w:p>
    <w:p w14:paraId="1FF25CA7">
      <w:pPr>
        <w:spacing w:before="157" w:beforeLines="50" w:after="157" w:afterLines="50" w:line="240" w:lineRule="auto"/>
        <w:ind w:firstLine="420" w:firstLineChars="200"/>
        <w:rPr>
          <w:rFonts w:hint="eastAsia" w:ascii="宋体" w:hAnsi="宋体" w:cs="宋体"/>
        </w:rPr>
      </w:pPr>
      <w:r>
        <w:rPr>
          <w:rFonts w:hint="eastAsia" w:ascii="宋体" w:hAnsi="宋体" w:cs="宋体"/>
        </w:rPr>
        <w:t>用户安全、权限控制、抗攻击能力等。</w:t>
      </w:r>
    </w:p>
    <w:p w14:paraId="2FD94564">
      <w:pPr>
        <w:spacing w:before="157" w:beforeLines="50" w:after="157" w:afterLines="50" w:line="240" w:lineRule="auto"/>
        <w:outlineLvl w:val="2"/>
        <w:rPr>
          <w:rFonts w:hint="eastAsia" w:ascii="黑体" w:hAnsi="黑体" w:eastAsia="黑体" w:cs="黑体"/>
        </w:rPr>
      </w:pPr>
      <w:r>
        <w:rPr>
          <w:rFonts w:hint="eastAsia" w:ascii="黑体" w:hAnsi="黑体" w:eastAsia="黑体" w:cs="黑体"/>
        </w:rPr>
        <w:t>5.4.2</w:t>
      </w:r>
      <w:r>
        <w:rPr>
          <w:rFonts w:hint="eastAsia" w:ascii="黑体" w:hAnsi="黑体" w:eastAsia="黑体" w:cs="黑体"/>
          <w:lang w:val="en-US" w:eastAsia="zh-CN"/>
        </w:rPr>
        <w:t xml:space="preserve"> </w:t>
      </w:r>
      <w:r>
        <w:rPr>
          <w:rFonts w:hint="eastAsia" w:ascii="黑体" w:hAnsi="黑体" w:eastAsia="黑体" w:cs="黑体"/>
        </w:rPr>
        <w:t xml:space="preserve"> 环境安全要求</w:t>
      </w:r>
    </w:p>
    <w:p w14:paraId="3D47D52F">
      <w:pPr>
        <w:spacing w:before="157" w:beforeLines="50" w:after="157" w:afterLines="50" w:line="240" w:lineRule="auto"/>
        <w:ind w:firstLine="420" w:firstLineChars="200"/>
        <w:rPr>
          <w:rFonts w:hint="eastAsia" w:ascii="宋体" w:hAnsi="宋体" w:cs="宋体"/>
        </w:rPr>
      </w:pPr>
      <w:r>
        <w:rPr>
          <w:rFonts w:hint="eastAsia" w:ascii="宋体" w:hAnsi="宋体" w:cs="宋体"/>
        </w:rPr>
        <w:t>操作系统安全、数据库软件安全、应用服务器软件安全、杀毒软件安全等。</w:t>
      </w:r>
    </w:p>
    <w:p w14:paraId="07CA4D56">
      <w:pPr>
        <w:spacing w:before="157" w:beforeLines="50" w:after="157" w:afterLines="50" w:line="240" w:lineRule="auto"/>
        <w:outlineLvl w:val="2"/>
        <w:rPr>
          <w:rFonts w:hint="eastAsia" w:ascii="黑体" w:hAnsi="黑体" w:eastAsia="黑体" w:cs="黑体"/>
        </w:rPr>
      </w:pPr>
      <w:r>
        <w:rPr>
          <w:rFonts w:hint="eastAsia" w:ascii="黑体" w:hAnsi="黑体" w:eastAsia="黑体" w:cs="黑体"/>
        </w:rPr>
        <w:t xml:space="preserve">5.4.3 </w:t>
      </w:r>
      <w:r>
        <w:rPr>
          <w:rFonts w:hint="eastAsia" w:ascii="黑体" w:hAnsi="黑体" w:eastAsia="黑体" w:cs="黑体"/>
          <w:lang w:val="en-US" w:eastAsia="zh-CN"/>
        </w:rPr>
        <w:t xml:space="preserve"> </w:t>
      </w:r>
      <w:r>
        <w:rPr>
          <w:rFonts w:hint="eastAsia" w:ascii="黑体" w:hAnsi="黑体" w:eastAsia="黑体" w:cs="黑体"/>
        </w:rPr>
        <w:t>数据安全要求</w:t>
      </w:r>
    </w:p>
    <w:p w14:paraId="770586E0">
      <w:pPr>
        <w:spacing w:before="157" w:beforeLines="50" w:after="157" w:afterLines="50" w:line="240" w:lineRule="auto"/>
        <w:ind w:firstLine="420" w:firstLineChars="200"/>
        <w:rPr>
          <w:rFonts w:hint="eastAsia" w:ascii="宋体" w:hAnsi="宋体" w:cs="宋体"/>
        </w:rPr>
      </w:pPr>
      <w:r>
        <w:rPr>
          <w:rFonts w:hint="eastAsia" w:ascii="宋体" w:hAnsi="宋体" w:cs="宋体"/>
        </w:rPr>
        <w:t>信息安全原则、数据库数据备份、应用程序数据备份。</w:t>
      </w:r>
    </w:p>
    <w:p w14:paraId="2A1426C7">
      <w:pPr>
        <w:spacing w:before="157" w:beforeLines="50" w:after="157" w:afterLines="50" w:line="240" w:lineRule="auto"/>
        <w:outlineLvl w:val="2"/>
        <w:rPr>
          <w:rFonts w:hint="eastAsia" w:ascii="宋体" w:hAnsi="宋体" w:cs="宋体"/>
        </w:rPr>
      </w:pPr>
      <w:r>
        <w:rPr>
          <w:rFonts w:hint="eastAsia" w:ascii="黑体" w:hAnsi="黑体" w:eastAsia="黑体" w:cs="黑体"/>
        </w:rPr>
        <w:t xml:space="preserve">5.4.4 </w:t>
      </w:r>
      <w:r>
        <w:rPr>
          <w:rFonts w:hint="eastAsia" w:ascii="黑体" w:hAnsi="黑体" w:eastAsia="黑体" w:cs="黑体"/>
          <w:lang w:val="en-US" w:eastAsia="zh-CN"/>
        </w:rPr>
        <w:t xml:space="preserve"> </w:t>
      </w:r>
      <w:r>
        <w:rPr>
          <w:rFonts w:hint="eastAsia" w:ascii="黑体" w:hAnsi="黑体" w:eastAsia="黑体" w:cs="黑体"/>
        </w:rPr>
        <w:t>网络和硬件安全要求</w:t>
      </w:r>
    </w:p>
    <w:p w14:paraId="62206D3E">
      <w:pPr>
        <w:spacing w:line="240" w:lineRule="auto"/>
        <w:ind w:firstLine="420" w:firstLineChars="200"/>
        <w:rPr>
          <w:szCs w:val="24"/>
        </w:rPr>
      </w:pPr>
      <w:r>
        <w:rPr>
          <w:rFonts w:hint="eastAsia"/>
          <w:szCs w:val="24"/>
        </w:rPr>
        <w:t>系统须采取容错性设计，提供网络安全防范措施，具有应对恶意攻击的防护能力，并保证安全可靠连续运行。设置通信网络设置审核环节，对入网用户进行安全审计，防止非法设备和用户接入，发现可疑行为及时报警提示。</w:t>
      </w:r>
    </w:p>
    <w:p w14:paraId="110BD245">
      <w:pPr>
        <w:widowControl/>
        <w:spacing w:before="157" w:beforeLines="50" w:after="157" w:afterLines="50" w:line="240" w:lineRule="auto"/>
        <w:jc w:val="left"/>
        <w:outlineLvl w:val="1"/>
        <w:rPr>
          <w:szCs w:val="24"/>
        </w:rPr>
      </w:pPr>
      <w:r>
        <w:rPr>
          <w:rFonts w:hint="eastAsia" w:ascii="黑体" w:hAnsi="黑体" w:eastAsia="黑体" w:cs="黑体"/>
        </w:rPr>
        <w:t xml:space="preserve">5.5 </w:t>
      </w:r>
      <w:r>
        <w:rPr>
          <w:rFonts w:hint="eastAsia" w:ascii="黑体" w:hAnsi="黑体" w:eastAsia="黑体" w:cs="黑体"/>
          <w:lang w:val="en-US" w:eastAsia="zh-CN"/>
        </w:rPr>
        <w:t xml:space="preserve"> </w:t>
      </w:r>
      <w:r>
        <w:rPr>
          <w:rFonts w:hint="eastAsia" w:ascii="黑体" w:hAnsi="宋体" w:eastAsia="黑体" w:cs="黑体"/>
          <w:color w:val="000000"/>
          <w:kern w:val="0"/>
          <w:lang w:bidi="ar"/>
        </w:rPr>
        <w:t xml:space="preserve">运维要求 </w:t>
      </w:r>
    </w:p>
    <w:p w14:paraId="0D8E6661">
      <w:pPr>
        <w:widowControl/>
        <w:spacing w:line="240" w:lineRule="auto"/>
        <w:ind w:firstLine="420" w:firstLineChars="200"/>
        <w:jc w:val="left"/>
        <w:rPr>
          <w:szCs w:val="24"/>
        </w:rPr>
      </w:pPr>
      <w:r>
        <w:rPr>
          <w:rFonts w:hint="eastAsia" w:ascii="宋体" w:hAnsi="宋体" w:cs="宋体"/>
          <w:color w:val="000000"/>
          <w:kern w:val="0"/>
          <w:lang w:bidi="ar"/>
        </w:rPr>
        <w:t>应明确药品追溯系统运维人员，落实运维责任，确保药品追溯系统的稳定运行；应制定系统运行应急处理预案，确保故障发生时及时响应。</w:t>
      </w:r>
    </w:p>
    <w:bookmarkEnd w:id="201"/>
    <w:bookmarkEnd w:id="202"/>
    <w:bookmarkEnd w:id="203"/>
    <w:bookmarkEnd w:id="204"/>
    <w:bookmarkEnd w:id="205"/>
    <w:bookmarkEnd w:id="206"/>
    <w:p w14:paraId="2AFA4B64">
      <w:pPr>
        <w:pStyle w:val="104"/>
        <w:spacing w:before="312" w:after="312"/>
        <w:rPr>
          <w:rFonts w:hint="eastAsia"/>
          <w:color w:val="000000" w:themeColor="text1"/>
          <w:szCs w:val="21"/>
          <w14:textFill>
            <w14:solidFill>
              <w14:schemeClr w14:val="tx1"/>
            </w14:solidFill>
          </w14:textFill>
        </w:rPr>
      </w:pPr>
      <w:bookmarkStart w:id="207" w:name="_Toc212634740"/>
      <w:r>
        <w:rPr>
          <w:rFonts w:hint="eastAsia"/>
          <w:color w:val="000000" w:themeColor="text1"/>
          <w:szCs w:val="21"/>
          <w14:textFill>
            <w14:solidFill>
              <w14:schemeClr w14:val="tx1"/>
            </w14:solidFill>
          </w14:textFill>
        </w:rPr>
        <w:t>追溯信息采集内容</w:t>
      </w:r>
      <w:bookmarkEnd w:id="207"/>
    </w:p>
    <w:p w14:paraId="5F2AFEFD">
      <w:pPr>
        <w:pStyle w:val="105"/>
        <w:numPr>
          <w:ilvl w:val="0"/>
          <w:numId w:val="0"/>
        </w:numPr>
        <w:spacing w:before="156" w:after="156"/>
        <w:rPr>
          <w:szCs w:val="24"/>
        </w:rPr>
      </w:pPr>
      <w:r>
        <w:rPr>
          <w:rFonts w:hint="eastAsia"/>
          <w:szCs w:val="24"/>
        </w:rPr>
        <w:t>6.1</w:t>
      </w:r>
      <w:r>
        <w:rPr>
          <w:rFonts w:hint="eastAsia"/>
          <w:szCs w:val="24"/>
          <w:lang w:val="en-US" w:eastAsia="zh-CN"/>
        </w:rPr>
        <w:t xml:space="preserve">  </w:t>
      </w:r>
      <w:r>
        <w:rPr>
          <w:rFonts w:hint="eastAsia"/>
          <w:szCs w:val="24"/>
        </w:rPr>
        <w:t>种植信息</w:t>
      </w:r>
    </w:p>
    <w:p w14:paraId="0F850A94">
      <w:pPr>
        <w:pStyle w:val="132"/>
        <w:numPr>
          <w:ilvl w:val="0"/>
          <w:numId w:val="0"/>
        </w:numPr>
        <w:tabs>
          <w:tab w:val="left" w:pos="426"/>
        </w:tabs>
        <w:ind w:left="425"/>
        <w:rPr>
          <w:szCs w:val="24"/>
        </w:rPr>
      </w:pPr>
      <w:r>
        <w:rPr>
          <w:rFonts w:hint="eastAsia"/>
          <w:szCs w:val="24"/>
        </w:rPr>
        <w:t>种质信息、种植信息、加工信息、质量信息等。</w:t>
      </w:r>
    </w:p>
    <w:p w14:paraId="7DF37AFF">
      <w:pPr>
        <w:pStyle w:val="105"/>
        <w:numPr>
          <w:ilvl w:val="0"/>
          <w:numId w:val="0"/>
        </w:numPr>
        <w:spacing w:before="156" w:after="156"/>
        <w:rPr>
          <w:szCs w:val="24"/>
        </w:rPr>
      </w:pPr>
      <w:r>
        <w:rPr>
          <w:rFonts w:hint="eastAsia"/>
          <w:szCs w:val="24"/>
        </w:rPr>
        <w:t>6.2</w:t>
      </w:r>
      <w:r>
        <w:rPr>
          <w:rFonts w:hint="eastAsia"/>
          <w:szCs w:val="24"/>
          <w:lang w:val="en-US" w:eastAsia="zh-CN"/>
        </w:rPr>
        <w:t xml:space="preserve">  </w:t>
      </w:r>
      <w:r>
        <w:rPr>
          <w:rFonts w:hint="eastAsia"/>
          <w:szCs w:val="24"/>
        </w:rPr>
        <w:t>采收信息</w:t>
      </w:r>
    </w:p>
    <w:p w14:paraId="00C2816D">
      <w:pPr>
        <w:pStyle w:val="132"/>
        <w:numPr>
          <w:ilvl w:val="0"/>
          <w:numId w:val="0"/>
        </w:numPr>
        <w:tabs>
          <w:tab w:val="left" w:pos="426"/>
        </w:tabs>
        <w:ind w:left="425"/>
        <w:rPr>
          <w:szCs w:val="24"/>
        </w:rPr>
      </w:pPr>
      <w:r>
        <w:rPr>
          <w:rFonts w:hint="eastAsia"/>
          <w:szCs w:val="24"/>
        </w:rPr>
        <w:t>采收时间、采收地点、采收人员、采收方法、采收数量等。</w:t>
      </w:r>
    </w:p>
    <w:p w14:paraId="40EBDE95">
      <w:pPr>
        <w:pStyle w:val="105"/>
        <w:numPr>
          <w:ilvl w:val="0"/>
          <w:numId w:val="0"/>
        </w:numPr>
        <w:spacing w:before="156" w:after="156"/>
        <w:rPr>
          <w:szCs w:val="24"/>
        </w:rPr>
      </w:pPr>
      <w:r>
        <w:rPr>
          <w:rFonts w:hint="eastAsia"/>
          <w:szCs w:val="24"/>
        </w:rPr>
        <w:t>6.3</w:t>
      </w:r>
      <w:r>
        <w:rPr>
          <w:rFonts w:hint="eastAsia"/>
          <w:szCs w:val="24"/>
          <w:lang w:val="en-US" w:eastAsia="zh-CN"/>
        </w:rPr>
        <w:t xml:space="preserve">  </w:t>
      </w:r>
      <w:r>
        <w:rPr>
          <w:rFonts w:hint="eastAsia"/>
          <w:szCs w:val="24"/>
        </w:rPr>
        <w:t>加工信息</w:t>
      </w:r>
    </w:p>
    <w:p w14:paraId="33C6C582">
      <w:pPr>
        <w:pStyle w:val="132"/>
        <w:numPr>
          <w:ilvl w:val="0"/>
          <w:numId w:val="0"/>
        </w:numPr>
        <w:tabs>
          <w:tab w:val="left" w:pos="426"/>
        </w:tabs>
        <w:ind w:left="425"/>
        <w:rPr>
          <w:szCs w:val="24"/>
        </w:rPr>
      </w:pPr>
      <w:r>
        <w:rPr>
          <w:rFonts w:hint="eastAsia"/>
          <w:szCs w:val="24"/>
        </w:rPr>
        <w:t>加工时间、加工地点、加工人员、加工方法、加工数量、企业信息等。</w:t>
      </w:r>
    </w:p>
    <w:p w14:paraId="6B93E730">
      <w:pPr>
        <w:pStyle w:val="105"/>
        <w:numPr>
          <w:ilvl w:val="0"/>
          <w:numId w:val="0"/>
        </w:numPr>
        <w:spacing w:before="156" w:after="156"/>
        <w:rPr>
          <w:szCs w:val="24"/>
        </w:rPr>
      </w:pPr>
      <w:r>
        <w:rPr>
          <w:rFonts w:hint="eastAsia"/>
          <w:szCs w:val="24"/>
        </w:rPr>
        <w:t>6.4</w:t>
      </w:r>
      <w:r>
        <w:rPr>
          <w:rFonts w:hint="eastAsia"/>
          <w:szCs w:val="24"/>
          <w:lang w:val="en-US" w:eastAsia="zh-CN"/>
        </w:rPr>
        <w:t xml:space="preserve">  </w:t>
      </w:r>
      <w:r>
        <w:rPr>
          <w:rFonts w:hint="eastAsia"/>
          <w:szCs w:val="24"/>
        </w:rPr>
        <w:t>饮片信息</w:t>
      </w:r>
    </w:p>
    <w:p w14:paraId="241909E9">
      <w:pPr>
        <w:pStyle w:val="132"/>
        <w:numPr>
          <w:ilvl w:val="0"/>
          <w:numId w:val="0"/>
        </w:numPr>
        <w:tabs>
          <w:tab w:val="left" w:pos="426"/>
        </w:tabs>
        <w:ind w:left="425"/>
        <w:rPr>
          <w:szCs w:val="24"/>
        </w:rPr>
      </w:pPr>
      <w:r>
        <w:rPr>
          <w:rFonts w:hint="eastAsia"/>
          <w:szCs w:val="24"/>
        </w:rPr>
        <w:t>饮片名称、饮片规格、饮片批号、饮片产地等。</w:t>
      </w:r>
    </w:p>
    <w:p w14:paraId="6F9DF1A7">
      <w:pPr>
        <w:pStyle w:val="105"/>
        <w:numPr>
          <w:ilvl w:val="0"/>
          <w:numId w:val="0"/>
        </w:numPr>
        <w:spacing w:before="156" w:after="156"/>
        <w:rPr>
          <w:szCs w:val="24"/>
        </w:rPr>
      </w:pPr>
      <w:r>
        <w:rPr>
          <w:rFonts w:hint="eastAsia"/>
          <w:szCs w:val="24"/>
        </w:rPr>
        <w:t>6.5</w:t>
      </w:r>
      <w:r>
        <w:rPr>
          <w:rFonts w:hint="eastAsia"/>
          <w:szCs w:val="24"/>
          <w:lang w:val="en-US" w:eastAsia="zh-CN"/>
        </w:rPr>
        <w:t xml:space="preserve">  </w:t>
      </w:r>
      <w:r>
        <w:rPr>
          <w:rFonts w:hint="eastAsia"/>
          <w:szCs w:val="24"/>
        </w:rPr>
        <w:t>贮藏运输信息</w:t>
      </w:r>
    </w:p>
    <w:p w14:paraId="194C94D9">
      <w:pPr>
        <w:pStyle w:val="132"/>
        <w:numPr>
          <w:ilvl w:val="0"/>
          <w:numId w:val="0"/>
        </w:numPr>
        <w:tabs>
          <w:tab w:val="left" w:pos="426"/>
        </w:tabs>
        <w:ind w:left="425"/>
        <w:rPr>
          <w:szCs w:val="24"/>
        </w:rPr>
      </w:pPr>
      <w:r>
        <w:rPr>
          <w:rFonts w:hint="eastAsia"/>
          <w:szCs w:val="24"/>
        </w:rPr>
        <w:t>贮藏条件信息、贮藏管理信息、运输工具信息、运输过程信息等。</w:t>
      </w:r>
    </w:p>
    <w:p w14:paraId="29F70201">
      <w:pPr>
        <w:pStyle w:val="105"/>
        <w:numPr>
          <w:ilvl w:val="0"/>
          <w:numId w:val="0"/>
        </w:numPr>
        <w:spacing w:before="156" w:after="156"/>
        <w:rPr>
          <w:szCs w:val="24"/>
        </w:rPr>
      </w:pPr>
      <w:r>
        <w:rPr>
          <w:rFonts w:hint="eastAsia"/>
          <w:szCs w:val="24"/>
        </w:rPr>
        <w:t>6.6</w:t>
      </w:r>
      <w:r>
        <w:rPr>
          <w:rFonts w:hint="eastAsia"/>
          <w:szCs w:val="24"/>
          <w:lang w:val="en-US" w:eastAsia="zh-CN"/>
        </w:rPr>
        <w:t xml:space="preserve">  </w:t>
      </w:r>
      <w:r>
        <w:rPr>
          <w:rFonts w:hint="eastAsia"/>
          <w:szCs w:val="24"/>
        </w:rPr>
        <w:t>质量信息</w:t>
      </w:r>
    </w:p>
    <w:p w14:paraId="0414AA8C">
      <w:pPr>
        <w:pStyle w:val="132"/>
        <w:numPr>
          <w:ilvl w:val="0"/>
          <w:numId w:val="0"/>
        </w:numPr>
        <w:tabs>
          <w:tab w:val="left" w:pos="426"/>
        </w:tabs>
        <w:spacing w:line="360" w:lineRule="auto"/>
        <w:ind w:firstLine="420" w:firstLineChars="200"/>
        <w:rPr>
          <w:szCs w:val="24"/>
        </w:rPr>
      </w:pPr>
      <w:r>
        <w:rPr>
          <w:rFonts w:hint="eastAsia"/>
          <w:szCs w:val="24"/>
        </w:rPr>
        <w:t>质量标准、检验检测、质量审核等。</w:t>
      </w:r>
    </w:p>
    <w:p w14:paraId="27DF6998">
      <w:pPr>
        <w:pStyle w:val="132"/>
        <w:numPr>
          <w:ilvl w:val="0"/>
          <w:numId w:val="0"/>
        </w:numPr>
        <w:tabs>
          <w:tab w:val="left" w:pos="426"/>
        </w:tabs>
        <w:spacing w:before="157" w:beforeLines="50" w:after="157" w:afterLines="50" w:line="240" w:lineRule="auto"/>
        <w:outlineLvl w:val="1"/>
        <w:rPr>
          <w:rFonts w:hint="eastAsia" w:ascii="黑体" w:hAnsi="黑体" w:eastAsia="黑体" w:cs="黑体"/>
          <w:szCs w:val="24"/>
        </w:rPr>
      </w:pPr>
      <w:r>
        <w:rPr>
          <w:rFonts w:hint="eastAsia" w:ascii="黑体" w:hAnsi="黑体" w:eastAsia="黑体" w:cs="黑体"/>
          <w:szCs w:val="24"/>
        </w:rPr>
        <w:t>6.7</w:t>
      </w:r>
      <w:r>
        <w:rPr>
          <w:rFonts w:hint="eastAsia" w:ascii="黑体" w:hAnsi="黑体" w:eastAsia="黑体" w:cs="黑体"/>
          <w:szCs w:val="24"/>
          <w:lang w:val="en-US" w:eastAsia="zh-CN"/>
        </w:rPr>
        <w:t xml:space="preserve">  </w:t>
      </w:r>
      <w:r>
        <w:rPr>
          <w:rFonts w:hint="eastAsia" w:ascii="黑体" w:hAnsi="黑体" w:eastAsia="黑体" w:cs="黑体"/>
          <w:szCs w:val="24"/>
        </w:rPr>
        <w:t>销售信息</w:t>
      </w:r>
    </w:p>
    <w:p w14:paraId="40E2B08E">
      <w:pPr>
        <w:pStyle w:val="132"/>
        <w:numPr>
          <w:ilvl w:val="0"/>
          <w:numId w:val="0"/>
        </w:numPr>
        <w:tabs>
          <w:tab w:val="left" w:pos="426"/>
        </w:tabs>
        <w:ind w:left="425"/>
        <w:rPr>
          <w:szCs w:val="24"/>
        </w:rPr>
      </w:pPr>
      <w:r>
        <w:rPr>
          <w:rFonts w:hint="eastAsia"/>
          <w:szCs w:val="24"/>
        </w:rPr>
        <w:t>销售渠道信息、销售记录、售后服务信息等</w:t>
      </w:r>
    </w:p>
    <w:p w14:paraId="539C043D">
      <w:pPr>
        <w:pStyle w:val="104"/>
        <w:spacing w:before="312" w:after="312"/>
        <w:rPr>
          <w:color w:val="000000" w:themeColor="text1"/>
          <w:szCs w:val="21"/>
          <w14:textFill>
            <w14:solidFill>
              <w14:schemeClr w14:val="tx1"/>
            </w14:solidFill>
          </w14:textFill>
        </w:rPr>
      </w:pPr>
      <w:bookmarkStart w:id="208" w:name="_Toc161931876"/>
      <w:bookmarkStart w:id="209" w:name="_Toc161950102"/>
      <w:bookmarkStart w:id="210" w:name="_Toc161842508"/>
      <w:bookmarkStart w:id="211" w:name="_Toc212634741"/>
      <w:bookmarkStart w:id="212" w:name="_Toc157793808"/>
      <w:bookmarkStart w:id="213" w:name="_Toc161960349"/>
      <w:bookmarkStart w:id="214" w:name="_Toc162086089"/>
      <w:bookmarkStart w:id="215" w:name="_Toc163403683"/>
      <w:bookmarkStart w:id="216" w:name="_Toc162968073"/>
      <w:r>
        <w:rPr>
          <w:rFonts w:hint="eastAsia"/>
          <w:color w:val="000000" w:themeColor="text1"/>
          <w:szCs w:val="21"/>
          <w14:textFill>
            <w14:solidFill>
              <w14:schemeClr w14:val="tx1"/>
            </w14:solidFill>
          </w14:textFill>
        </w:rPr>
        <w:t>追溯信息管理</w:t>
      </w:r>
      <w:bookmarkEnd w:id="208"/>
      <w:bookmarkEnd w:id="209"/>
      <w:bookmarkEnd w:id="210"/>
      <w:bookmarkEnd w:id="211"/>
      <w:bookmarkEnd w:id="212"/>
      <w:bookmarkEnd w:id="213"/>
      <w:bookmarkEnd w:id="214"/>
      <w:bookmarkEnd w:id="215"/>
      <w:bookmarkEnd w:id="216"/>
    </w:p>
    <w:p w14:paraId="235B6B08">
      <w:pPr>
        <w:pStyle w:val="105"/>
        <w:numPr>
          <w:ilvl w:val="0"/>
          <w:numId w:val="0"/>
        </w:numPr>
        <w:spacing w:before="156" w:after="156"/>
        <w:rPr>
          <w:szCs w:val="24"/>
        </w:rPr>
      </w:pPr>
      <w:r>
        <w:rPr>
          <w:rFonts w:hint="eastAsia"/>
          <w:szCs w:val="24"/>
        </w:rPr>
        <w:t>7.1</w:t>
      </w:r>
      <w:r>
        <w:rPr>
          <w:rFonts w:hint="eastAsia"/>
          <w:szCs w:val="24"/>
          <w:lang w:val="en-US" w:eastAsia="zh-CN"/>
        </w:rPr>
        <w:t xml:space="preserve">  </w:t>
      </w:r>
      <w:r>
        <w:rPr>
          <w:rFonts w:hint="eastAsia"/>
          <w:szCs w:val="24"/>
        </w:rPr>
        <w:t>信息存储</w:t>
      </w:r>
    </w:p>
    <w:p w14:paraId="0525E7B4">
      <w:pPr>
        <w:pStyle w:val="56"/>
        <w:ind w:firstLine="420"/>
        <w:rPr>
          <w:szCs w:val="24"/>
        </w:rPr>
      </w:pPr>
      <w:r>
        <w:rPr>
          <w:rFonts w:hint="eastAsia"/>
          <w:szCs w:val="24"/>
        </w:rPr>
        <w:t>纸质记录信息应按实际生产作业信息及时记录整理核实归档,纸质信息转换成的电子记录信息应及时备份，所有信息档案至少保存3年。</w:t>
      </w:r>
    </w:p>
    <w:p w14:paraId="1A36970B">
      <w:pPr>
        <w:pStyle w:val="105"/>
        <w:numPr>
          <w:ilvl w:val="0"/>
          <w:numId w:val="0"/>
        </w:numPr>
        <w:spacing w:before="156" w:after="156"/>
        <w:rPr>
          <w:szCs w:val="24"/>
        </w:rPr>
      </w:pPr>
      <w:r>
        <w:rPr>
          <w:rFonts w:hint="eastAsia"/>
          <w:szCs w:val="24"/>
        </w:rPr>
        <w:t>7.2</w:t>
      </w:r>
      <w:r>
        <w:rPr>
          <w:rFonts w:hint="eastAsia"/>
          <w:szCs w:val="24"/>
          <w:lang w:val="en-US" w:eastAsia="zh-CN"/>
        </w:rPr>
        <w:t xml:space="preserve">  </w:t>
      </w:r>
      <w:r>
        <w:rPr>
          <w:rFonts w:hint="eastAsia"/>
          <w:szCs w:val="24"/>
        </w:rPr>
        <w:t>信息呈现</w:t>
      </w:r>
    </w:p>
    <w:p w14:paraId="3B4D52BE">
      <w:pPr>
        <w:pStyle w:val="56"/>
        <w:ind w:firstLine="420"/>
        <w:rPr>
          <w:szCs w:val="24"/>
        </w:rPr>
      </w:pPr>
      <w:r>
        <w:rPr>
          <w:rFonts w:hint="eastAsia"/>
          <w:szCs w:val="24"/>
        </w:rPr>
        <w:t>在每一环节操作结束时，应及时将纸质记录信息转换成电子信息，将电子信息通过网络方式传递给下一环节，最后汇总传递到追溯信息平台系统，提供第三方数据共享接口，满足政府监管需要，探索区块链等新技术应用于追溯信息安全体系。</w:t>
      </w:r>
    </w:p>
    <w:p w14:paraId="206C2362">
      <w:pPr>
        <w:pStyle w:val="105"/>
        <w:numPr>
          <w:ilvl w:val="0"/>
          <w:numId w:val="0"/>
        </w:numPr>
        <w:spacing w:before="156" w:after="156"/>
        <w:rPr>
          <w:szCs w:val="24"/>
        </w:rPr>
      </w:pPr>
      <w:r>
        <w:rPr>
          <w:rFonts w:hint="eastAsia"/>
          <w:szCs w:val="24"/>
        </w:rPr>
        <w:t>7.3</w:t>
      </w:r>
      <w:r>
        <w:rPr>
          <w:rFonts w:hint="eastAsia"/>
          <w:szCs w:val="24"/>
          <w:lang w:val="en-US" w:eastAsia="zh-CN"/>
        </w:rPr>
        <w:t xml:space="preserve">  </w:t>
      </w:r>
      <w:r>
        <w:rPr>
          <w:rFonts w:hint="eastAsia"/>
          <w:szCs w:val="24"/>
        </w:rPr>
        <w:t>追溯赋码</w:t>
      </w:r>
    </w:p>
    <w:p w14:paraId="6F9630B4">
      <w:pPr>
        <w:pStyle w:val="56"/>
        <w:ind w:firstLine="420"/>
        <w:rPr>
          <w:szCs w:val="24"/>
        </w:rPr>
      </w:pPr>
      <w:r>
        <w:rPr>
          <w:rFonts w:hint="eastAsia"/>
          <w:szCs w:val="24"/>
        </w:rPr>
        <w:t>追溯信息应关联到追溯码上，可通过印刷、粘贴、挂牌等形式附在产品外包装、标识牌上，应至少包括追溯标识、产品追溯码、信息查询渠道。</w:t>
      </w:r>
    </w:p>
    <w:p w14:paraId="6FD75BE1">
      <w:pPr>
        <w:spacing w:line="240" w:lineRule="auto"/>
        <w:ind w:firstLine="420" w:firstLineChars="200"/>
        <w:rPr>
          <w:rFonts w:ascii="Times New Roman" w:hAnsi="Times New Roman"/>
          <w:highlight w:val="yellow"/>
        </w:rPr>
      </w:pPr>
    </w:p>
    <w:p w14:paraId="33ECB58F">
      <w:pPr>
        <w:pStyle w:val="56"/>
        <w:ind w:firstLine="0" w:firstLineChars="0"/>
        <w:rPr>
          <w:szCs w:val="24"/>
        </w:rPr>
      </w:pPr>
      <w:r>
        <w:rPr>
          <w:rFonts w:hint="eastAsia"/>
          <w:szCs w:val="24"/>
        </w:rPr>
        <w:t xml:space="preserve">                              </w:t>
      </w:r>
      <w:r>
        <w:rPr>
          <w:szCs w:val="24"/>
        </w:rPr>
        <w:drawing>
          <wp:inline distT="0" distB="0" distL="114300" distR="114300">
            <wp:extent cx="1485900" cy="316865"/>
            <wp:effectExtent l="0" t="0" r="0" b="635"/>
            <wp:docPr id="6" name="图片 1"/>
            <wp:cNvGraphicFramePr/>
            <a:graphic xmlns:a="http://schemas.openxmlformats.org/drawingml/2006/main">
              <a:graphicData uri="http://schemas.openxmlformats.org/drawingml/2006/picture">
                <pic:pic xmlns:pic="http://schemas.openxmlformats.org/drawingml/2006/picture">
                  <pic:nvPicPr>
                    <pic:cNvPr id="6" name="图片 1"/>
                    <pic:cNvPicPr/>
                  </pic:nvPicPr>
                  <pic:blipFill>
                    <a:blip r:embed="rId19"/>
                    <a:stretch>
                      <a:fillRect/>
                    </a:stretch>
                  </pic:blipFill>
                  <pic:spPr>
                    <a:xfrm>
                      <a:off x="0" y="0"/>
                      <a:ext cx="1485900" cy="316865"/>
                    </a:xfrm>
                    <a:prstGeom prst="rect">
                      <a:avLst/>
                    </a:prstGeom>
                    <a:noFill/>
                    <a:ln>
                      <a:noFill/>
                    </a:ln>
                  </pic:spPr>
                </pic:pic>
              </a:graphicData>
            </a:graphic>
          </wp:inline>
        </w:drawing>
      </w:r>
    </w:p>
    <w:bookmarkEnd w:id="55"/>
    <w:bookmarkEnd w:id="136"/>
    <w:bookmarkEnd w:id="137"/>
    <w:bookmarkEnd w:id="138"/>
    <w:bookmarkEnd w:id="139"/>
    <w:bookmarkEnd w:id="140"/>
    <w:bookmarkEnd w:id="141"/>
    <w:bookmarkEnd w:id="142"/>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1AFDFB4E">
      <w:pPr>
        <w:pStyle w:val="56"/>
        <w:ind w:firstLine="0" w:firstLineChars="0"/>
        <w:rPr>
          <w:color w:val="000000" w:themeColor="text1"/>
          <w14:textFill>
            <w14:solidFill>
              <w14:schemeClr w14:val="tx1"/>
            </w14:solidFill>
          </w14:textFill>
        </w:rPr>
      </w:pPr>
    </w:p>
    <w:sectPr>
      <w:footerReference r:id="rId16" w:type="default"/>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NewRomanPSMT">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E03E0">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EC855">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52288">
    <w:pPr>
      <w:pStyle w:val="52"/>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5D9D1D">
                          <w:pPr>
                            <w:pStyle w:val="52"/>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F5D9D1D">
                    <w:pPr>
                      <w:pStyle w:val="52"/>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72728">
    <w:pPr>
      <w:pStyle w:val="231"/>
      <w:rPr>
        <w:rStyle w:val="3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2F212B">
                          <w:pPr>
                            <w:pStyle w:val="231"/>
                          </w:pPr>
                          <w:r>
                            <w:rPr>
                              <w:rStyle w:val="30"/>
                            </w:rPr>
                            <w:fldChar w:fldCharType="begin"/>
                          </w:r>
                          <w:r>
                            <w:rPr>
                              <w:rStyle w:val="30"/>
                            </w:rPr>
                            <w:instrText xml:space="preserve">PAGE  </w:instrText>
                          </w:r>
                          <w:r>
                            <w:rPr>
                              <w:rStyle w:val="30"/>
                            </w:rPr>
                            <w:fldChar w:fldCharType="separate"/>
                          </w:r>
                          <w:r>
                            <w:rPr>
                              <w:rStyle w:val="30"/>
                            </w:rPr>
                            <w:t>I</w:t>
                          </w:r>
                          <w:r>
                            <w:rPr>
                              <w:rStyle w:val="30"/>
                            </w:rPr>
                            <w:fldChar w:fldCharType="end"/>
                          </w:r>
                        </w:p>
                      </w:txbxContent>
                    </wps:txbx>
                    <wps:bodyPr wrap="none" lIns="0" tIns="0" rIns="0" bIns="0" upright="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4xG58gBAACZAwAADgAAAGRycy9lMm9Eb2MueG1srVPNjtMwEL4j8Q6W&#10;79RpD1BF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02dEWJ4xYHfvn+7fLj1+XnV/Im&#10;t6cPUGPWQ8C8NNz5AZdm9gM6s+pBRZu/qIdgHJt7vjZXDomI/Gi9Wq8rDAmMzRfEZ4/PQ4T0VnpL&#10;stHQiNMrTeWn95DG1DklV3P+XhtTJmjcXw7EzB6WuY8cs5WG/TAJ2vv2jHp6HHxDHe45Jeadw77m&#10;HZmNOBv72TiGqA8dUlsWXhBujwlJFG65wgg7FcaJFXXTduWV+PNesh7/qO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MRufIAQAAmQMAAA4AAAAAAAAAAQAgAAAAHgEAAGRycy9lMm9Eb2Mu&#10;eG1sUEsFBgAAAAAGAAYAWQEAAFgFAAAAAA==&#10;">
              <v:fill on="f" focussize="0,0"/>
              <v:stroke on="f"/>
              <v:imagedata o:title=""/>
              <o:lock v:ext="edit" aspectratio="f"/>
              <v:textbox inset="0mm,0mm,0mm,0mm" style="mso-fit-shape-to-text:t;">
                <w:txbxContent>
                  <w:p w14:paraId="312F212B">
                    <w:pPr>
                      <w:pStyle w:val="231"/>
                    </w:pPr>
                    <w:r>
                      <w:rPr>
                        <w:rStyle w:val="30"/>
                      </w:rPr>
                      <w:fldChar w:fldCharType="begin"/>
                    </w:r>
                    <w:r>
                      <w:rPr>
                        <w:rStyle w:val="30"/>
                      </w:rPr>
                      <w:instrText xml:space="preserve">PAGE  </w:instrText>
                    </w:r>
                    <w:r>
                      <w:rPr>
                        <w:rStyle w:val="30"/>
                      </w:rPr>
                      <w:fldChar w:fldCharType="separate"/>
                    </w:r>
                    <w:r>
                      <w:rPr>
                        <w:rStyle w:val="30"/>
                      </w:rPr>
                      <w:t>I</w:t>
                    </w:r>
                    <w:r>
                      <w:rPr>
                        <w:rStyle w:val="30"/>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6360">
    <w:pPr>
      <w:pStyle w:val="231"/>
      <w:tabs>
        <w:tab w:val="center" w:pos="4677"/>
        <w:tab w:val="right" w:pos="9474"/>
      </w:tabs>
      <w:jc w:val="left"/>
      <w:rPr>
        <w:rStyle w:val="30"/>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BDBE44">
                          <w:pPr>
                            <w:pStyle w:val="231"/>
                          </w:pPr>
                          <w:r>
                            <w:rPr>
                              <w:rStyle w:val="30"/>
                            </w:rPr>
                            <w:fldChar w:fldCharType="begin"/>
                          </w:r>
                          <w:r>
                            <w:rPr>
                              <w:rStyle w:val="30"/>
                            </w:rPr>
                            <w:instrText xml:space="preserve">PAGE  </w:instrText>
                          </w:r>
                          <w:r>
                            <w:rPr>
                              <w:rStyle w:val="30"/>
                            </w:rPr>
                            <w:fldChar w:fldCharType="separate"/>
                          </w:r>
                          <w:r>
                            <w:rPr>
                              <w:rStyle w:val="30"/>
                            </w:rPr>
                            <w:t>I</w:t>
                          </w:r>
                          <w:r>
                            <w:rPr>
                              <w:rStyle w:val="30"/>
                            </w:rPr>
                            <w:fldChar w:fldCharType="end"/>
                          </w:r>
                        </w:p>
                      </w:txbxContent>
                    </wps:txbx>
                    <wps:bodyPr wrap="none" lIns="0" tIns="0" rIns="0" bIns="0" upright="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iy8kBAACZAwAADgAAAGRycy9lMm9Eb2MueG1srVPNjtMwEL4j8Q6W&#10;79Rpk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cNfUmJ4xYHfvn+7fLj1+XnV/I6&#10;t6cPUGPWXcC8NLz1Ay7N7Ad0ZtWDijZ/UQ/BODb3fG2uHBIR+dF6tV5XGBIYmy+Izx6ehwjpnfSW&#10;ZKOhEadXmspPHyCNqXNKrub8rTamTNC4vxyImT0scx85ZisN+2EStPftGfX0OPiGOtxzSsx7h33N&#10;OzIbcTb2s3EMUR86pLYsvCC8OSYkUbjlCiPsVBgnVtRN25VX4s97yXr4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r6LLyQEAAJkDAAAOAAAAAAAAAAEAIAAAAB4BAABkcnMvZTJvRG9j&#10;LnhtbFBLBQYAAAAABgAGAFkBAABZBQAAAAA=&#10;">
              <v:fill on="f" focussize="0,0"/>
              <v:stroke on="f"/>
              <v:imagedata o:title=""/>
              <o:lock v:ext="edit" aspectratio="f"/>
              <v:textbox inset="0mm,0mm,0mm,0mm" style="mso-fit-shape-to-text:t;">
                <w:txbxContent>
                  <w:p w14:paraId="54BDBE44">
                    <w:pPr>
                      <w:pStyle w:val="231"/>
                    </w:pPr>
                    <w:r>
                      <w:rPr>
                        <w:rStyle w:val="30"/>
                      </w:rPr>
                      <w:fldChar w:fldCharType="begin"/>
                    </w:r>
                    <w:r>
                      <w:rPr>
                        <w:rStyle w:val="30"/>
                      </w:rPr>
                      <w:instrText xml:space="preserve">PAGE  </w:instrText>
                    </w:r>
                    <w:r>
                      <w:rPr>
                        <w:rStyle w:val="30"/>
                      </w:rPr>
                      <w:fldChar w:fldCharType="separate"/>
                    </w:r>
                    <w:r>
                      <w:rPr>
                        <w:rStyle w:val="30"/>
                      </w:rPr>
                      <w:t>I</w:t>
                    </w:r>
                    <w:r>
                      <w:rPr>
                        <w:rStyle w:val="30"/>
                      </w:rPr>
                      <w:fldChar w:fldCharType="end"/>
                    </w:r>
                  </w:p>
                </w:txbxContent>
              </v:textbox>
            </v:shape>
          </w:pict>
        </mc:Fallback>
      </mc:AlternateContent>
    </w:r>
    <w:r>
      <w:rPr>
        <w:rStyle w:val="30"/>
        <w:rFonts w:hint="eastAsia"/>
      </w:rPr>
      <w:tab/>
    </w:r>
    <w:r>
      <w:rPr>
        <w:rStyle w:val="30"/>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6E74B">
    <w:pPr>
      <w:pStyle w:val="231"/>
      <w:tabs>
        <w:tab w:val="center" w:pos="4677"/>
        <w:tab w:val="right" w:pos="9474"/>
      </w:tabs>
      <w:jc w:val="left"/>
      <w:rPr>
        <w:rStyle w:val="30"/>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75F395">
                          <w:pPr>
                            <w:pStyle w:val="231"/>
                          </w:pPr>
                          <w:r>
                            <w:rPr>
                              <w:rStyle w:val="30"/>
                            </w:rPr>
                            <w:fldChar w:fldCharType="begin"/>
                          </w:r>
                          <w:r>
                            <w:rPr>
                              <w:rStyle w:val="30"/>
                            </w:rPr>
                            <w:instrText xml:space="preserve">PAGE  </w:instrText>
                          </w:r>
                          <w:r>
                            <w:rPr>
                              <w:rStyle w:val="30"/>
                            </w:rPr>
                            <w:fldChar w:fldCharType="separate"/>
                          </w:r>
                          <w:r>
                            <w:rPr>
                              <w:rStyle w:val="30"/>
                            </w:rPr>
                            <w:t>I</w:t>
                          </w:r>
                          <w:r>
                            <w:rPr>
                              <w:rStyle w:val="30"/>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ogMnjIAQAAmQMAAA4AAAAAAAAAAQAgAAAAHgEAAGRycy9lMm9Eb2Mu&#10;eG1sUEsFBgAAAAAGAAYAWQEAAFgFAAAAAA==&#10;">
              <v:fill on="f" focussize="0,0"/>
              <v:stroke on="f"/>
              <v:imagedata o:title=""/>
              <o:lock v:ext="edit" aspectratio="f"/>
              <v:textbox inset="0mm,0mm,0mm,0mm" style="mso-fit-shape-to-text:t;">
                <w:txbxContent>
                  <w:p w14:paraId="3E75F395">
                    <w:pPr>
                      <w:pStyle w:val="231"/>
                    </w:pPr>
                    <w:r>
                      <w:rPr>
                        <w:rStyle w:val="30"/>
                      </w:rPr>
                      <w:fldChar w:fldCharType="begin"/>
                    </w:r>
                    <w:r>
                      <w:rPr>
                        <w:rStyle w:val="30"/>
                      </w:rPr>
                      <w:instrText xml:space="preserve">PAGE  </w:instrText>
                    </w:r>
                    <w:r>
                      <w:rPr>
                        <w:rStyle w:val="30"/>
                      </w:rPr>
                      <w:fldChar w:fldCharType="separate"/>
                    </w:r>
                    <w:r>
                      <w:rPr>
                        <w:rStyle w:val="30"/>
                      </w:rPr>
                      <w:t>I</w:t>
                    </w:r>
                    <w:r>
                      <w:rPr>
                        <w:rStyle w:val="30"/>
                      </w:rPr>
                      <w:fldChar w:fldCharType="end"/>
                    </w:r>
                  </w:p>
                </w:txbxContent>
              </v:textbox>
            </v:shape>
          </w:pict>
        </mc:Fallback>
      </mc:AlternateContent>
    </w:r>
    <w:r>
      <w:rPr>
        <w:rStyle w:val="30"/>
        <w:rFonts w:hint="eastAsia"/>
      </w:rPr>
      <w:tab/>
    </w:r>
    <w:r>
      <w:rPr>
        <w:rStyle w:val="30"/>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BCDCF">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BE0F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8EC50">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98D44">
    <w:pPr>
      <w:pStyle w:val="61"/>
      <w:rPr>
        <w:rFonts w:hint="eastAsia"/>
      </w:rPr>
    </w:pPr>
    <w:r>
      <w:fldChar w:fldCharType="begin"/>
    </w:r>
    <w:r>
      <w:instrText xml:space="preserve"> STYLEREF  标准文件_文件编号  \* MERGEFORMAT </w:instrText>
    </w:r>
    <w:r>
      <w:fldChar w:fldCharType="separate"/>
    </w:r>
    <w:r>
      <w:t>Q/BQL 0009—2025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3DB00">
    <w:pPr>
      <w:pStyle w:val="18"/>
      <w:jc w:val="right"/>
    </w:pPr>
    <w:r>
      <w:fldChar w:fldCharType="begin"/>
    </w:r>
    <w:r>
      <w:instrText xml:space="preserve"> STYLEREF  标准文件_文件编号  \* MERGEFORMAT </w:instrText>
    </w:r>
    <w:r>
      <w:fldChar w:fldCharType="separate"/>
    </w:r>
    <w:r>
      <w:t>Q/BQL 0009—2025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DAF16">
    <w:pPr>
      <w:pStyle w:val="230"/>
      <w:wordWrap w:val="0"/>
      <w:rPr>
        <w:rFonts w:hint="eastAsia" w:ascii="黑体" w:hAnsi="黑体" w:eastAsia="TimesNewRomanPSMT"/>
      </w:rPr>
    </w:pPr>
    <w:r>
      <w:rPr>
        <w:rFonts w:ascii="Times New Roman" w:hAnsi="Times New Roman" w:eastAsia="TimesNewRomanPSMT"/>
      </w:rPr>
      <w:t>Q/BQL 000</w:t>
    </w:r>
    <w:r>
      <w:rPr>
        <w:rFonts w:hint="eastAsia" w:ascii="Times New Roman" w:hAnsi="Times New Roman" w:eastAsia="TimesNewRomanPSMT"/>
      </w:rPr>
      <w:t>9</w:t>
    </w:r>
    <w:r>
      <w:rPr>
        <w:rFonts w:ascii="Times New Roman" w:hAnsi="Times New Roman" w:eastAsia="TimesNewRomanPSMT"/>
      </w:rPr>
      <w:t>—202</w:t>
    </w:r>
    <w:r>
      <w:rPr>
        <w:rFonts w:hint="eastAsia" w:ascii="Times New Roman" w:hAnsi="Times New Roman" w:eastAsia="TimesNewRomanPSMT"/>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upperLetter"/>
      <w:suff w:val="nothing"/>
      <w:lvlText w:val="附　录　%1"/>
      <w:lvlJc w:val="left"/>
      <w:pPr>
        <w:ind w:left="0" w:firstLine="0"/>
      </w:pPr>
      <w:rPr>
        <w:rFonts w:hint="eastAsia" w:ascii="黑体" w:hAnsi="Times New Roman" w:eastAsia="黑体"/>
        <w:sz w:val="21"/>
        <w:u w:val="none"/>
      </w:rPr>
    </w:lvl>
    <w:lvl w:ilvl="1" w:tentative="0">
      <w:start w:val="1"/>
      <w:numFmt w:val="decimal"/>
      <w:pStyle w:val="233"/>
      <w:suff w:val="nothing"/>
      <w:lvlText w:val="%1.%2　"/>
      <w:lvlJc w:val="left"/>
      <w:pPr>
        <w:ind w:left="0" w:firstLine="0"/>
      </w:pPr>
      <w:rPr>
        <w:rFonts w:hint="eastAsia" w:ascii="黑体" w:hAnsi="Times New Roman" w:eastAsia="黑体"/>
        <w:kern w:val="21"/>
        <w:sz w:val="21"/>
        <w:u w:val="none"/>
      </w:rPr>
    </w:lvl>
    <w:lvl w:ilvl="2" w:tentative="0">
      <w:start w:val="1"/>
      <w:numFmt w:val="decimal"/>
      <w:suff w:val="nothing"/>
      <w:lvlText w:val="%1.%2.%3　"/>
      <w:lvlJc w:val="left"/>
      <w:pPr>
        <w:ind w:left="0" w:firstLine="0"/>
      </w:pPr>
      <w:rPr>
        <w:rFonts w:hint="eastAsia" w:ascii="黑体" w:hAnsi="Times New Roman" w:eastAsia="黑体"/>
        <w:sz w:val="21"/>
        <w:u w:val="none"/>
      </w:rPr>
    </w:lvl>
    <w:lvl w:ilvl="3" w:tentative="0">
      <w:start w:val="1"/>
      <w:numFmt w:val="decimal"/>
      <w:suff w:val="nothing"/>
      <w:lvlText w:val="%1.%2.%3.%4　"/>
      <w:lvlJc w:val="left"/>
      <w:pPr>
        <w:ind w:left="0" w:firstLine="0"/>
      </w:pPr>
      <w:rPr>
        <w:rFonts w:hint="eastAsia" w:ascii="黑体" w:hAnsi="Times New Roman" w:eastAsia="黑体"/>
        <w:sz w:val="21"/>
        <w:u w:val="none"/>
      </w:rPr>
    </w:lvl>
    <w:lvl w:ilvl="4" w:tentative="0">
      <w:start w:val="1"/>
      <w:numFmt w:val="decimal"/>
      <w:suff w:val="nothing"/>
      <w:lvlText w:val="%1.%2.%3.%4.%5　"/>
      <w:lvlJc w:val="left"/>
      <w:pPr>
        <w:ind w:left="0" w:firstLine="0"/>
      </w:pPr>
      <w:rPr>
        <w:rFonts w:hint="eastAsia" w:ascii="黑体" w:hAnsi="Times New Roman" w:eastAsia="黑体"/>
        <w:sz w:val="21"/>
        <w:u w:val="none"/>
      </w:rPr>
    </w:lvl>
    <w:lvl w:ilvl="5" w:tentative="0">
      <w:start w:val="1"/>
      <w:numFmt w:val="decimal"/>
      <w:suff w:val="nothing"/>
      <w:lvlText w:val="%1.%2.%3.%4.%5.%6　"/>
      <w:lvlJc w:val="left"/>
      <w:pPr>
        <w:ind w:left="0" w:firstLine="0"/>
      </w:pPr>
      <w:rPr>
        <w:rFonts w:hint="eastAsia" w:ascii="黑体" w:hAnsi="Times New Roman" w:eastAsia="黑体"/>
        <w:sz w:val="21"/>
        <w:u w:val="none"/>
      </w:rPr>
    </w:lvl>
    <w:lvl w:ilvl="6" w:tentative="0">
      <w:start w:val="1"/>
      <w:numFmt w:val="decimal"/>
      <w:suff w:val="nothing"/>
      <w:lvlText w:val="%1.%2.%3.%4.%5.%6.%7　"/>
      <w:lvlJc w:val="left"/>
      <w:pPr>
        <w:ind w:left="0" w:firstLine="0"/>
      </w:pPr>
      <w:rPr>
        <w:rFonts w:hint="eastAsia" w:ascii="黑体" w:hAnsi="Times New Roman" w:eastAsia="黑体"/>
        <w:sz w:val="21"/>
        <w:u w:val="none"/>
      </w:rPr>
    </w:lvl>
    <w:lvl w:ilvl="7" w:tentative="0">
      <w:start w:val="1"/>
      <w:numFmt w:val="decimal"/>
      <w:lvlText w:val="%1.%2.%3.%4.%5.%6.%7.%8"/>
      <w:lvlJc w:val="left"/>
      <w:pPr>
        <w:tabs>
          <w:tab w:val="left" w:pos="4394"/>
        </w:tabs>
        <w:ind w:left="4394" w:hanging="1418"/>
      </w:pPr>
      <w:rPr>
        <w:rFonts w:hint="default"/>
        <w:u w:val="none"/>
      </w:rPr>
    </w:lvl>
    <w:lvl w:ilvl="8" w:tentative="0">
      <w:start w:val="1"/>
      <w:numFmt w:val="decimal"/>
      <w:lvlText w:val="%1.%2.%3.%4.%5.%6.%7.%8.%9"/>
      <w:lvlJc w:val="left"/>
      <w:pPr>
        <w:tabs>
          <w:tab w:val="left" w:pos="5102"/>
        </w:tabs>
        <w:ind w:left="5102" w:hanging="1700"/>
      </w:pPr>
      <w:rPr>
        <w:rFonts w:hint="default"/>
        <w:u w:val="none"/>
      </w:rPr>
    </w:lvl>
  </w:abstractNum>
  <w:abstractNum w:abstractNumId="1">
    <w:nsid w:val="00000014"/>
    <w:multiLevelType w:val="multilevel"/>
    <w:tmpl w:val="00000014"/>
    <w:lvl w:ilvl="0" w:tentative="0">
      <w:start w:val="1"/>
      <w:numFmt w:val="none"/>
      <w:suff w:val="nothing"/>
      <w:lvlText w:val="%1"/>
      <w:lvlJc w:val="left"/>
      <w:pPr>
        <w:ind w:left="0" w:firstLine="0"/>
      </w:pPr>
      <w:rPr>
        <w:rFonts w:hint="default" w:ascii="Times New Roman" w:hAnsi="Times New Roman" w:eastAsia="宋体"/>
        <w:b/>
        <w:sz w:val="21"/>
        <w:u w:val="none"/>
      </w:rPr>
    </w:lvl>
    <w:lvl w:ilvl="1" w:tentative="0">
      <w:start w:val="1"/>
      <w:numFmt w:val="decimal"/>
      <w:pStyle w:val="235"/>
      <w:suff w:val="nothing"/>
      <w:lvlText w:val="%1%2　"/>
      <w:lvlJc w:val="left"/>
      <w:pPr>
        <w:ind w:left="0" w:firstLine="0"/>
      </w:pPr>
      <w:rPr>
        <w:rFonts w:hint="eastAsia" w:ascii="黑体" w:hAnsi="Times New Roman" w:eastAsia="黑体"/>
        <w:sz w:val="21"/>
        <w:u w:val="none"/>
      </w:rPr>
    </w:lvl>
    <w:lvl w:ilvl="2" w:tentative="0">
      <w:start w:val="1"/>
      <w:numFmt w:val="decimal"/>
      <w:pStyle w:val="234"/>
      <w:suff w:val="nothing"/>
      <w:lvlText w:val="%1%2.%3　"/>
      <w:lvlJc w:val="left"/>
      <w:pPr>
        <w:ind w:left="0" w:firstLine="0"/>
      </w:pPr>
      <w:rPr>
        <w:rFonts w:hint="eastAsia" w:ascii="黑体" w:hAnsi="Times New Roman" w:eastAsia="黑体"/>
        <w:sz w:val="21"/>
        <w:u w:val="none"/>
      </w:rPr>
    </w:lvl>
    <w:lvl w:ilvl="3" w:tentative="0">
      <w:start w:val="1"/>
      <w:numFmt w:val="decimal"/>
      <w:pStyle w:val="237"/>
      <w:suff w:val="nothing"/>
      <w:lvlText w:val="%1%2.%3.%4　"/>
      <w:lvlJc w:val="left"/>
      <w:pPr>
        <w:ind w:left="525" w:firstLine="0"/>
      </w:pPr>
      <w:rPr>
        <w:rFonts w:hint="eastAsia" w:ascii="黑体" w:hAnsi="Times New Roman" w:eastAsia="黑体"/>
        <w:sz w:val="21"/>
        <w:u w:val="none"/>
      </w:rPr>
    </w:lvl>
    <w:lvl w:ilvl="4" w:tentative="0">
      <w:start w:val="1"/>
      <w:numFmt w:val="decimal"/>
      <w:suff w:val="nothing"/>
      <w:lvlText w:val="%1%2.%3.%4.%5　"/>
      <w:lvlJc w:val="left"/>
      <w:pPr>
        <w:ind w:left="0" w:firstLine="0"/>
      </w:pPr>
      <w:rPr>
        <w:rFonts w:hint="eastAsia" w:ascii="黑体" w:hAnsi="Times New Roman" w:eastAsia="黑体"/>
        <w:sz w:val="21"/>
        <w:u w:val="none"/>
      </w:rPr>
    </w:lvl>
    <w:lvl w:ilvl="5" w:tentative="0">
      <w:start w:val="1"/>
      <w:numFmt w:val="decimal"/>
      <w:suff w:val="nothing"/>
      <w:lvlText w:val="%1%2.%3.%4.%5.%6　"/>
      <w:lvlJc w:val="left"/>
      <w:pPr>
        <w:ind w:left="0" w:firstLine="0"/>
      </w:pPr>
      <w:rPr>
        <w:rFonts w:hint="eastAsia" w:ascii="黑体" w:hAnsi="Times New Roman" w:eastAsia="黑体"/>
        <w:sz w:val="21"/>
        <w:u w:val="none"/>
      </w:rPr>
    </w:lvl>
    <w:lvl w:ilvl="6" w:tentative="0">
      <w:start w:val="1"/>
      <w:numFmt w:val="decimal"/>
      <w:suff w:val="nothing"/>
      <w:lvlText w:val="%1%2.%3.%4.%5.%6.%7　"/>
      <w:lvlJc w:val="left"/>
      <w:pPr>
        <w:ind w:left="0" w:firstLine="0"/>
      </w:pPr>
      <w:rPr>
        <w:rFonts w:hint="eastAsia" w:ascii="黑体" w:hAnsi="Times New Roman" w:eastAsia="黑体"/>
        <w:sz w:val="21"/>
        <w:u w:val="none"/>
      </w:rPr>
    </w:lvl>
    <w:lvl w:ilvl="7" w:tentative="0">
      <w:start w:val="1"/>
      <w:numFmt w:val="decimal"/>
      <w:lvlText w:val="%1.%2.%3.%4.%5.%6.%7.%8"/>
      <w:lvlJc w:val="left"/>
      <w:pPr>
        <w:tabs>
          <w:tab w:val="left" w:pos="4351"/>
        </w:tabs>
        <w:ind w:left="3969" w:hanging="1418"/>
      </w:pPr>
      <w:rPr>
        <w:rFonts w:hint="default"/>
        <w:u w:val="none"/>
      </w:rPr>
    </w:lvl>
    <w:lvl w:ilvl="8" w:tentative="0">
      <w:start w:val="1"/>
      <w:numFmt w:val="decimal"/>
      <w:lvlText w:val="%1.%2.%3.%4.%5.%6.%7.%8.%9"/>
      <w:lvlJc w:val="left"/>
      <w:pPr>
        <w:tabs>
          <w:tab w:val="left" w:pos="4777"/>
        </w:tabs>
        <w:ind w:left="4677" w:hanging="1700"/>
      </w:pPr>
      <w:rPr>
        <w:rFonts w:hint="default"/>
        <w:u w:val="none"/>
      </w:rPr>
    </w:lvl>
  </w:abstractNum>
  <w:abstractNum w:abstractNumId="2">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3"/>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172A27"/>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2D83"/>
    <w:rsid w:val="000238E0"/>
    <w:rsid w:val="000249DB"/>
    <w:rsid w:val="0002595E"/>
    <w:rsid w:val="00027919"/>
    <w:rsid w:val="000303C3"/>
    <w:rsid w:val="000331D3"/>
    <w:rsid w:val="000346A5"/>
    <w:rsid w:val="000359C3"/>
    <w:rsid w:val="00035A7D"/>
    <w:rsid w:val="000365ED"/>
    <w:rsid w:val="0004249A"/>
    <w:rsid w:val="00043282"/>
    <w:rsid w:val="00044286"/>
    <w:rsid w:val="00046D06"/>
    <w:rsid w:val="00047F28"/>
    <w:rsid w:val="000503AA"/>
    <w:rsid w:val="000506A1"/>
    <w:rsid w:val="000515DD"/>
    <w:rsid w:val="0005265A"/>
    <w:rsid w:val="000539DD"/>
    <w:rsid w:val="00053BD3"/>
    <w:rsid w:val="000556ED"/>
    <w:rsid w:val="00055FE2"/>
    <w:rsid w:val="0005616F"/>
    <w:rsid w:val="00056568"/>
    <w:rsid w:val="00060C2E"/>
    <w:rsid w:val="00061033"/>
    <w:rsid w:val="000619E9"/>
    <w:rsid w:val="000622D4"/>
    <w:rsid w:val="0006357D"/>
    <w:rsid w:val="00067F1E"/>
    <w:rsid w:val="00071082"/>
    <w:rsid w:val="00071CC0"/>
    <w:rsid w:val="00073C8C"/>
    <w:rsid w:val="00074261"/>
    <w:rsid w:val="00077B64"/>
    <w:rsid w:val="00080A1C"/>
    <w:rsid w:val="00082317"/>
    <w:rsid w:val="00083D2C"/>
    <w:rsid w:val="00086AA1"/>
    <w:rsid w:val="00087A77"/>
    <w:rsid w:val="000902C8"/>
    <w:rsid w:val="00090CA6"/>
    <w:rsid w:val="00092B8A"/>
    <w:rsid w:val="00092FB0"/>
    <w:rsid w:val="000934C5"/>
    <w:rsid w:val="00093D25"/>
    <w:rsid w:val="00093DAB"/>
    <w:rsid w:val="00094D73"/>
    <w:rsid w:val="00096D63"/>
    <w:rsid w:val="000A0B60"/>
    <w:rsid w:val="000A0EB8"/>
    <w:rsid w:val="000A169A"/>
    <w:rsid w:val="000A19FC"/>
    <w:rsid w:val="000A296B"/>
    <w:rsid w:val="000A7311"/>
    <w:rsid w:val="000B060F"/>
    <w:rsid w:val="000B1592"/>
    <w:rsid w:val="000B1FF2"/>
    <w:rsid w:val="000B2541"/>
    <w:rsid w:val="000B3CDA"/>
    <w:rsid w:val="000B6A0B"/>
    <w:rsid w:val="000B75B1"/>
    <w:rsid w:val="000C0F6C"/>
    <w:rsid w:val="000C11DB"/>
    <w:rsid w:val="000C1492"/>
    <w:rsid w:val="000C2FBD"/>
    <w:rsid w:val="000C4B41"/>
    <w:rsid w:val="000C57D6"/>
    <w:rsid w:val="000C6362"/>
    <w:rsid w:val="000C7666"/>
    <w:rsid w:val="000D0A9C"/>
    <w:rsid w:val="000D1795"/>
    <w:rsid w:val="000D329A"/>
    <w:rsid w:val="000D4B9C"/>
    <w:rsid w:val="000D4EB6"/>
    <w:rsid w:val="000D6034"/>
    <w:rsid w:val="000D65F1"/>
    <w:rsid w:val="000D753B"/>
    <w:rsid w:val="000E0C87"/>
    <w:rsid w:val="000E4C9E"/>
    <w:rsid w:val="000E6FD7"/>
    <w:rsid w:val="000F06E1"/>
    <w:rsid w:val="000F0E3C"/>
    <w:rsid w:val="000F19D5"/>
    <w:rsid w:val="000F1D44"/>
    <w:rsid w:val="000F4AEA"/>
    <w:rsid w:val="000F67E9"/>
    <w:rsid w:val="00103D47"/>
    <w:rsid w:val="00104926"/>
    <w:rsid w:val="00112AFC"/>
    <w:rsid w:val="00113B1E"/>
    <w:rsid w:val="0011711C"/>
    <w:rsid w:val="001178F7"/>
    <w:rsid w:val="00124E4F"/>
    <w:rsid w:val="001260B7"/>
    <w:rsid w:val="001265CB"/>
    <w:rsid w:val="001321C6"/>
    <w:rsid w:val="001325C4"/>
    <w:rsid w:val="00133010"/>
    <w:rsid w:val="001338EE"/>
    <w:rsid w:val="00133AAE"/>
    <w:rsid w:val="00135323"/>
    <w:rsid w:val="001356C4"/>
    <w:rsid w:val="00140BC7"/>
    <w:rsid w:val="00141114"/>
    <w:rsid w:val="00142969"/>
    <w:rsid w:val="001446C2"/>
    <w:rsid w:val="001457E7"/>
    <w:rsid w:val="00145D9D"/>
    <w:rsid w:val="00146388"/>
    <w:rsid w:val="001529E5"/>
    <w:rsid w:val="0015307C"/>
    <w:rsid w:val="00153C7E"/>
    <w:rsid w:val="00154D6F"/>
    <w:rsid w:val="00156B25"/>
    <w:rsid w:val="00156E1A"/>
    <w:rsid w:val="00157894"/>
    <w:rsid w:val="00157B55"/>
    <w:rsid w:val="00162740"/>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2A27"/>
    <w:rsid w:val="0017340B"/>
    <w:rsid w:val="00173FB1"/>
    <w:rsid w:val="00176DFD"/>
    <w:rsid w:val="00181645"/>
    <w:rsid w:val="001850D7"/>
    <w:rsid w:val="001852C9"/>
    <w:rsid w:val="00186592"/>
    <w:rsid w:val="00190087"/>
    <w:rsid w:val="001913C4"/>
    <w:rsid w:val="0019348F"/>
    <w:rsid w:val="00193A07"/>
    <w:rsid w:val="00194C95"/>
    <w:rsid w:val="00195C34"/>
    <w:rsid w:val="00196EF5"/>
    <w:rsid w:val="001A1A53"/>
    <w:rsid w:val="001A234A"/>
    <w:rsid w:val="001A4CF3"/>
    <w:rsid w:val="001A5A02"/>
    <w:rsid w:val="001B06E8"/>
    <w:rsid w:val="001B71D0"/>
    <w:rsid w:val="001B71EE"/>
    <w:rsid w:val="001C04A8"/>
    <w:rsid w:val="001C2C03"/>
    <w:rsid w:val="001C42F7"/>
    <w:rsid w:val="001C4439"/>
    <w:rsid w:val="001C49E5"/>
    <w:rsid w:val="001C680C"/>
    <w:rsid w:val="001C7FEA"/>
    <w:rsid w:val="001D0499"/>
    <w:rsid w:val="001D0BBE"/>
    <w:rsid w:val="001D0ED4"/>
    <w:rsid w:val="001D212F"/>
    <w:rsid w:val="001D29D7"/>
    <w:rsid w:val="001D2DE7"/>
    <w:rsid w:val="001D411C"/>
    <w:rsid w:val="001E1B6A"/>
    <w:rsid w:val="001E2484"/>
    <w:rsid w:val="001E3523"/>
    <w:rsid w:val="001E3CC4"/>
    <w:rsid w:val="001E4882"/>
    <w:rsid w:val="001E73AB"/>
    <w:rsid w:val="001F092D"/>
    <w:rsid w:val="001F143A"/>
    <w:rsid w:val="001F1605"/>
    <w:rsid w:val="001F2508"/>
    <w:rsid w:val="001F423D"/>
    <w:rsid w:val="001F4816"/>
    <w:rsid w:val="001F69B4"/>
    <w:rsid w:val="001F77C7"/>
    <w:rsid w:val="00200183"/>
    <w:rsid w:val="00200333"/>
    <w:rsid w:val="0020107D"/>
    <w:rsid w:val="00202AA4"/>
    <w:rsid w:val="002031F7"/>
    <w:rsid w:val="00203CD9"/>
    <w:rsid w:val="002040E6"/>
    <w:rsid w:val="0020527B"/>
    <w:rsid w:val="00205F2C"/>
    <w:rsid w:val="00210B15"/>
    <w:rsid w:val="002142EA"/>
    <w:rsid w:val="002204BB"/>
    <w:rsid w:val="00221B79"/>
    <w:rsid w:val="00221C6B"/>
    <w:rsid w:val="00222BFF"/>
    <w:rsid w:val="002253A1"/>
    <w:rsid w:val="00225CF8"/>
    <w:rsid w:val="0022794E"/>
    <w:rsid w:val="00233D64"/>
    <w:rsid w:val="0023482A"/>
    <w:rsid w:val="002359CB"/>
    <w:rsid w:val="00236CB9"/>
    <w:rsid w:val="0024050F"/>
    <w:rsid w:val="002406CE"/>
    <w:rsid w:val="002414DC"/>
    <w:rsid w:val="00243540"/>
    <w:rsid w:val="0024497B"/>
    <w:rsid w:val="0024515B"/>
    <w:rsid w:val="00246021"/>
    <w:rsid w:val="0024666E"/>
    <w:rsid w:val="00247742"/>
    <w:rsid w:val="00247F52"/>
    <w:rsid w:val="00250888"/>
    <w:rsid w:val="00250B25"/>
    <w:rsid w:val="00250BBE"/>
    <w:rsid w:val="002515C2"/>
    <w:rsid w:val="0025194F"/>
    <w:rsid w:val="00254655"/>
    <w:rsid w:val="00257AF8"/>
    <w:rsid w:val="0026148A"/>
    <w:rsid w:val="00262696"/>
    <w:rsid w:val="00263D25"/>
    <w:rsid w:val="002643C3"/>
    <w:rsid w:val="00264A0C"/>
    <w:rsid w:val="00266EEB"/>
    <w:rsid w:val="00267EF4"/>
    <w:rsid w:val="00270CB8"/>
    <w:rsid w:val="00272B08"/>
    <w:rsid w:val="00281BB8"/>
    <w:rsid w:val="00281E9E"/>
    <w:rsid w:val="00282405"/>
    <w:rsid w:val="0028345A"/>
    <w:rsid w:val="00285170"/>
    <w:rsid w:val="00285361"/>
    <w:rsid w:val="00292D60"/>
    <w:rsid w:val="00293B30"/>
    <w:rsid w:val="00294D34"/>
    <w:rsid w:val="00294E3B"/>
    <w:rsid w:val="00294EFA"/>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491A"/>
    <w:rsid w:val="002C5278"/>
    <w:rsid w:val="002C7EBB"/>
    <w:rsid w:val="002D06C1"/>
    <w:rsid w:val="002D42B5"/>
    <w:rsid w:val="002D4F1A"/>
    <w:rsid w:val="002D6EC6"/>
    <w:rsid w:val="002D72C4"/>
    <w:rsid w:val="002D79AC"/>
    <w:rsid w:val="002E039D"/>
    <w:rsid w:val="002E0D01"/>
    <w:rsid w:val="002E4D5A"/>
    <w:rsid w:val="002E6326"/>
    <w:rsid w:val="002E7E5C"/>
    <w:rsid w:val="002F30E0"/>
    <w:rsid w:val="002F35E4"/>
    <w:rsid w:val="002F3730"/>
    <w:rsid w:val="002F38E1"/>
    <w:rsid w:val="002F7AF6"/>
    <w:rsid w:val="00300E63"/>
    <w:rsid w:val="00302F5F"/>
    <w:rsid w:val="0030441D"/>
    <w:rsid w:val="00306063"/>
    <w:rsid w:val="00313B85"/>
    <w:rsid w:val="00317988"/>
    <w:rsid w:val="0032090A"/>
    <w:rsid w:val="003221B4"/>
    <w:rsid w:val="0032258D"/>
    <w:rsid w:val="00322E62"/>
    <w:rsid w:val="00324D13"/>
    <w:rsid w:val="00324EDD"/>
    <w:rsid w:val="00325F8E"/>
    <w:rsid w:val="003262AD"/>
    <w:rsid w:val="003270D3"/>
    <w:rsid w:val="003304BA"/>
    <w:rsid w:val="003331E4"/>
    <w:rsid w:val="003356F0"/>
    <w:rsid w:val="00336C64"/>
    <w:rsid w:val="00337162"/>
    <w:rsid w:val="0034194F"/>
    <w:rsid w:val="00344418"/>
    <w:rsid w:val="00344605"/>
    <w:rsid w:val="003474AA"/>
    <w:rsid w:val="00350D1D"/>
    <w:rsid w:val="003521A9"/>
    <w:rsid w:val="00352458"/>
    <w:rsid w:val="00352C83"/>
    <w:rsid w:val="003560FF"/>
    <w:rsid w:val="003615D2"/>
    <w:rsid w:val="0036429C"/>
    <w:rsid w:val="00364A53"/>
    <w:rsid w:val="00365172"/>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5D0"/>
    <w:rsid w:val="003872FC"/>
    <w:rsid w:val="00387ADC"/>
    <w:rsid w:val="00390020"/>
    <w:rsid w:val="003903D6"/>
    <w:rsid w:val="00390EE6"/>
    <w:rsid w:val="0039118F"/>
    <w:rsid w:val="00392AD7"/>
    <w:rsid w:val="003938D9"/>
    <w:rsid w:val="00394376"/>
    <w:rsid w:val="003943FF"/>
    <w:rsid w:val="003974EB"/>
    <w:rsid w:val="00397CC5"/>
    <w:rsid w:val="003A1582"/>
    <w:rsid w:val="003A2447"/>
    <w:rsid w:val="003A4077"/>
    <w:rsid w:val="003B09AD"/>
    <w:rsid w:val="003B1F18"/>
    <w:rsid w:val="003B5BF0"/>
    <w:rsid w:val="003B60BF"/>
    <w:rsid w:val="003B6BE3"/>
    <w:rsid w:val="003C010C"/>
    <w:rsid w:val="003C0A6C"/>
    <w:rsid w:val="003C14F8"/>
    <w:rsid w:val="003C3378"/>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0C3"/>
    <w:rsid w:val="003F3F08"/>
    <w:rsid w:val="003F49F1"/>
    <w:rsid w:val="003F4CE1"/>
    <w:rsid w:val="003F560D"/>
    <w:rsid w:val="003F6272"/>
    <w:rsid w:val="00400E72"/>
    <w:rsid w:val="00401400"/>
    <w:rsid w:val="00404869"/>
    <w:rsid w:val="00405884"/>
    <w:rsid w:val="00407D39"/>
    <w:rsid w:val="00410EE0"/>
    <w:rsid w:val="0041477A"/>
    <w:rsid w:val="004167A3"/>
    <w:rsid w:val="00417056"/>
    <w:rsid w:val="00423749"/>
    <w:rsid w:val="00424186"/>
    <w:rsid w:val="00432DAA"/>
    <w:rsid w:val="00434305"/>
    <w:rsid w:val="00435DF7"/>
    <w:rsid w:val="00437C42"/>
    <w:rsid w:val="0044083F"/>
    <w:rsid w:val="00441AE7"/>
    <w:rsid w:val="00445574"/>
    <w:rsid w:val="004467FB"/>
    <w:rsid w:val="00447F28"/>
    <w:rsid w:val="0045030A"/>
    <w:rsid w:val="00452D6B"/>
    <w:rsid w:val="00454484"/>
    <w:rsid w:val="0045517B"/>
    <w:rsid w:val="00463B77"/>
    <w:rsid w:val="00463C7B"/>
    <w:rsid w:val="004644A6"/>
    <w:rsid w:val="004659BD"/>
    <w:rsid w:val="00470775"/>
    <w:rsid w:val="004746B1"/>
    <w:rsid w:val="0047583F"/>
    <w:rsid w:val="00475DE8"/>
    <w:rsid w:val="00476FC3"/>
    <w:rsid w:val="004813CD"/>
    <w:rsid w:val="00481C44"/>
    <w:rsid w:val="00483461"/>
    <w:rsid w:val="00484936"/>
    <w:rsid w:val="00485C89"/>
    <w:rsid w:val="00486BE3"/>
    <w:rsid w:val="004905E4"/>
    <w:rsid w:val="00490A89"/>
    <w:rsid w:val="00490AB4"/>
    <w:rsid w:val="00492F02"/>
    <w:rsid w:val="004939AE"/>
    <w:rsid w:val="004A12DF"/>
    <w:rsid w:val="004A1BA8"/>
    <w:rsid w:val="004A4B57"/>
    <w:rsid w:val="004A63FA"/>
    <w:rsid w:val="004A7612"/>
    <w:rsid w:val="004A7C1B"/>
    <w:rsid w:val="004B0272"/>
    <w:rsid w:val="004B2701"/>
    <w:rsid w:val="004B2E1B"/>
    <w:rsid w:val="004B3AA8"/>
    <w:rsid w:val="004B3E93"/>
    <w:rsid w:val="004B5A47"/>
    <w:rsid w:val="004C0B2F"/>
    <w:rsid w:val="004C1FBC"/>
    <w:rsid w:val="004C3F1D"/>
    <w:rsid w:val="004C458D"/>
    <w:rsid w:val="004C7556"/>
    <w:rsid w:val="004C7E8B"/>
    <w:rsid w:val="004C7E9D"/>
    <w:rsid w:val="004C7F67"/>
    <w:rsid w:val="004D076D"/>
    <w:rsid w:val="004D0EF1"/>
    <w:rsid w:val="004D2253"/>
    <w:rsid w:val="004D3403"/>
    <w:rsid w:val="004D367A"/>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6456"/>
    <w:rsid w:val="004F696E"/>
    <w:rsid w:val="004F6C71"/>
    <w:rsid w:val="00501139"/>
    <w:rsid w:val="0050363E"/>
    <w:rsid w:val="005039BC"/>
    <w:rsid w:val="005041AC"/>
    <w:rsid w:val="005043BB"/>
    <w:rsid w:val="00504A3D"/>
    <w:rsid w:val="00505767"/>
    <w:rsid w:val="005073F0"/>
    <w:rsid w:val="00510A7B"/>
    <w:rsid w:val="00512377"/>
    <w:rsid w:val="00512F6E"/>
    <w:rsid w:val="00513038"/>
    <w:rsid w:val="00514174"/>
    <w:rsid w:val="00516088"/>
    <w:rsid w:val="00516B0B"/>
    <w:rsid w:val="005220EC"/>
    <w:rsid w:val="00522BAF"/>
    <w:rsid w:val="00523F95"/>
    <w:rsid w:val="00524D65"/>
    <w:rsid w:val="00525B16"/>
    <w:rsid w:val="00525B49"/>
    <w:rsid w:val="00532BE2"/>
    <w:rsid w:val="00533D04"/>
    <w:rsid w:val="00534804"/>
    <w:rsid w:val="00534BDF"/>
    <w:rsid w:val="005354EA"/>
    <w:rsid w:val="0053585F"/>
    <w:rsid w:val="00535EC4"/>
    <w:rsid w:val="00535ED9"/>
    <w:rsid w:val="0053692B"/>
    <w:rsid w:val="00541853"/>
    <w:rsid w:val="00543B47"/>
    <w:rsid w:val="00543BDA"/>
    <w:rsid w:val="005441CC"/>
    <w:rsid w:val="00545E2C"/>
    <w:rsid w:val="005479DA"/>
    <w:rsid w:val="00547BCC"/>
    <w:rsid w:val="0055013B"/>
    <w:rsid w:val="00551F6F"/>
    <w:rsid w:val="00553847"/>
    <w:rsid w:val="00554FED"/>
    <w:rsid w:val="00555044"/>
    <w:rsid w:val="00560391"/>
    <w:rsid w:val="005608D5"/>
    <w:rsid w:val="00561475"/>
    <w:rsid w:val="00562C2F"/>
    <w:rsid w:val="00562C78"/>
    <w:rsid w:val="005638BB"/>
    <w:rsid w:val="0056487B"/>
    <w:rsid w:val="00564FB9"/>
    <w:rsid w:val="00573D9E"/>
    <w:rsid w:val="005801E3"/>
    <w:rsid w:val="00581802"/>
    <w:rsid w:val="005836A8"/>
    <w:rsid w:val="0058409C"/>
    <w:rsid w:val="00584262"/>
    <w:rsid w:val="00586630"/>
    <w:rsid w:val="00587ADD"/>
    <w:rsid w:val="0059491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A28"/>
    <w:rsid w:val="005D6A95"/>
    <w:rsid w:val="005D6B2C"/>
    <w:rsid w:val="005D6D9C"/>
    <w:rsid w:val="005E2335"/>
    <w:rsid w:val="005E34CA"/>
    <w:rsid w:val="005E3C18"/>
    <w:rsid w:val="005E6812"/>
    <w:rsid w:val="005E7881"/>
    <w:rsid w:val="005E78E0"/>
    <w:rsid w:val="005F0D9C"/>
    <w:rsid w:val="005F14E0"/>
    <w:rsid w:val="005F260E"/>
    <w:rsid w:val="005F284E"/>
    <w:rsid w:val="006015CE"/>
    <w:rsid w:val="00604784"/>
    <w:rsid w:val="00606419"/>
    <w:rsid w:val="00607D29"/>
    <w:rsid w:val="00612952"/>
    <w:rsid w:val="00614CC1"/>
    <w:rsid w:val="00615A9D"/>
    <w:rsid w:val="00617387"/>
    <w:rsid w:val="006205D6"/>
    <w:rsid w:val="006252D8"/>
    <w:rsid w:val="006259BC"/>
    <w:rsid w:val="00625E35"/>
    <w:rsid w:val="0062636B"/>
    <w:rsid w:val="00627AB8"/>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6DA6"/>
    <w:rsid w:val="00660F0E"/>
    <w:rsid w:val="006640E5"/>
    <w:rsid w:val="006646F1"/>
    <w:rsid w:val="00664929"/>
    <w:rsid w:val="00664F62"/>
    <w:rsid w:val="006655E1"/>
    <w:rsid w:val="00672060"/>
    <w:rsid w:val="00672BFD"/>
    <w:rsid w:val="00674985"/>
    <w:rsid w:val="006770F4"/>
    <w:rsid w:val="00677A84"/>
    <w:rsid w:val="0068026D"/>
    <w:rsid w:val="00680A27"/>
    <w:rsid w:val="006816A4"/>
    <w:rsid w:val="006819B8"/>
    <w:rsid w:val="006840A6"/>
    <w:rsid w:val="006850CD"/>
    <w:rsid w:val="006857FA"/>
    <w:rsid w:val="00685AAB"/>
    <w:rsid w:val="00693235"/>
    <w:rsid w:val="006A07AA"/>
    <w:rsid w:val="006A25E5"/>
    <w:rsid w:val="006A2B09"/>
    <w:rsid w:val="006A2B46"/>
    <w:rsid w:val="006A336D"/>
    <w:rsid w:val="006A37B9"/>
    <w:rsid w:val="006B2672"/>
    <w:rsid w:val="006B54BF"/>
    <w:rsid w:val="006B5F44"/>
    <w:rsid w:val="006B5F90"/>
    <w:rsid w:val="006B62E4"/>
    <w:rsid w:val="006C1BBA"/>
    <w:rsid w:val="006C2079"/>
    <w:rsid w:val="006C35C4"/>
    <w:rsid w:val="006C5A62"/>
    <w:rsid w:val="006C5D68"/>
    <w:rsid w:val="006C6976"/>
    <w:rsid w:val="006C6DD0"/>
    <w:rsid w:val="006D0247"/>
    <w:rsid w:val="006D04EA"/>
    <w:rsid w:val="006D0B03"/>
    <w:rsid w:val="006D12A3"/>
    <w:rsid w:val="006D16C4"/>
    <w:rsid w:val="006D3E96"/>
    <w:rsid w:val="006D4515"/>
    <w:rsid w:val="006D4BB1"/>
    <w:rsid w:val="006D6593"/>
    <w:rsid w:val="006F03A8"/>
    <w:rsid w:val="006F2ACA"/>
    <w:rsid w:val="006F2ADC"/>
    <w:rsid w:val="006F2BFE"/>
    <w:rsid w:val="006F31E9"/>
    <w:rsid w:val="006F6284"/>
    <w:rsid w:val="007002C5"/>
    <w:rsid w:val="007018F9"/>
    <w:rsid w:val="00704387"/>
    <w:rsid w:val="00707669"/>
    <w:rsid w:val="00711CBA"/>
    <w:rsid w:val="00711FB5"/>
    <w:rsid w:val="00712A01"/>
    <w:rsid w:val="007134F6"/>
    <w:rsid w:val="00714F58"/>
    <w:rsid w:val="00722FBF"/>
    <w:rsid w:val="00722FC2"/>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8AD"/>
    <w:rsid w:val="007A6FD9"/>
    <w:rsid w:val="007A7FFA"/>
    <w:rsid w:val="007B04EB"/>
    <w:rsid w:val="007B0D4F"/>
    <w:rsid w:val="007B5A3D"/>
    <w:rsid w:val="007B5B95"/>
    <w:rsid w:val="007B68EA"/>
    <w:rsid w:val="007B7453"/>
    <w:rsid w:val="007C2D89"/>
    <w:rsid w:val="007C36B5"/>
    <w:rsid w:val="007C4593"/>
    <w:rsid w:val="007C5309"/>
    <w:rsid w:val="007C6069"/>
    <w:rsid w:val="007C6C70"/>
    <w:rsid w:val="007D03EC"/>
    <w:rsid w:val="007D06C4"/>
    <w:rsid w:val="007D1352"/>
    <w:rsid w:val="007D2508"/>
    <w:rsid w:val="007D346A"/>
    <w:rsid w:val="007D594A"/>
    <w:rsid w:val="007D6518"/>
    <w:rsid w:val="007D76BD"/>
    <w:rsid w:val="007E0BF1"/>
    <w:rsid w:val="007E1771"/>
    <w:rsid w:val="007E1B4F"/>
    <w:rsid w:val="007E34F7"/>
    <w:rsid w:val="007F0ED8"/>
    <w:rsid w:val="007F0F63"/>
    <w:rsid w:val="007F3702"/>
    <w:rsid w:val="007F75CE"/>
    <w:rsid w:val="008013A4"/>
    <w:rsid w:val="008027CE"/>
    <w:rsid w:val="00802F42"/>
    <w:rsid w:val="00803473"/>
    <w:rsid w:val="00804383"/>
    <w:rsid w:val="00804BB7"/>
    <w:rsid w:val="00804D41"/>
    <w:rsid w:val="008058E7"/>
    <w:rsid w:val="00805C64"/>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C32"/>
    <w:rsid w:val="00840F84"/>
    <w:rsid w:val="00842A47"/>
    <w:rsid w:val="00843C13"/>
    <w:rsid w:val="00843F6A"/>
    <w:rsid w:val="00844EF5"/>
    <w:rsid w:val="008454F8"/>
    <w:rsid w:val="00850929"/>
    <w:rsid w:val="0085173A"/>
    <w:rsid w:val="008603CE"/>
    <w:rsid w:val="008619DB"/>
    <w:rsid w:val="008620FC"/>
    <w:rsid w:val="008627A5"/>
    <w:rsid w:val="00863E05"/>
    <w:rsid w:val="008655C4"/>
    <w:rsid w:val="00865ACA"/>
    <w:rsid w:val="00865D28"/>
    <w:rsid w:val="00865F85"/>
    <w:rsid w:val="00867524"/>
    <w:rsid w:val="00867C10"/>
    <w:rsid w:val="00870439"/>
    <w:rsid w:val="00870DA1"/>
    <w:rsid w:val="008713B4"/>
    <w:rsid w:val="00883F93"/>
    <w:rsid w:val="00884DB3"/>
    <w:rsid w:val="00885A9D"/>
    <w:rsid w:val="008864F6"/>
    <w:rsid w:val="008868B3"/>
    <w:rsid w:val="0089049D"/>
    <w:rsid w:val="00891107"/>
    <w:rsid w:val="008928C9"/>
    <w:rsid w:val="008930CB"/>
    <w:rsid w:val="008938DC"/>
    <w:rsid w:val="00893FD1"/>
    <w:rsid w:val="0089403D"/>
    <w:rsid w:val="00894836"/>
    <w:rsid w:val="00895172"/>
    <w:rsid w:val="00895680"/>
    <w:rsid w:val="0089606D"/>
    <w:rsid w:val="00896DFF"/>
    <w:rsid w:val="0089762C"/>
    <w:rsid w:val="008A166E"/>
    <w:rsid w:val="008A1893"/>
    <w:rsid w:val="008A57E6"/>
    <w:rsid w:val="008A6F81"/>
    <w:rsid w:val="008A769A"/>
    <w:rsid w:val="008B088D"/>
    <w:rsid w:val="008B0C9C"/>
    <w:rsid w:val="008B166D"/>
    <w:rsid w:val="008B17F4"/>
    <w:rsid w:val="008B21AD"/>
    <w:rsid w:val="008B3615"/>
    <w:rsid w:val="008B4AC4"/>
    <w:rsid w:val="008B50C8"/>
    <w:rsid w:val="008B5281"/>
    <w:rsid w:val="008B530B"/>
    <w:rsid w:val="008B7E05"/>
    <w:rsid w:val="008C1797"/>
    <w:rsid w:val="008C219C"/>
    <w:rsid w:val="008C3D48"/>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044"/>
    <w:rsid w:val="008E2319"/>
    <w:rsid w:val="008E4BB6"/>
    <w:rsid w:val="008E5518"/>
    <w:rsid w:val="008E6764"/>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240"/>
    <w:rsid w:val="009273B3"/>
    <w:rsid w:val="009305B5"/>
    <w:rsid w:val="00935BC2"/>
    <w:rsid w:val="009429D5"/>
    <w:rsid w:val="00942BF1"/>
    <w:rsid w:val="00945180"/>
    <w:rsid w:val="00945428"/>
    <w:rsid w:val="0094607B"/>
    <w:rsid w:val="009527B0"/>
    <w:rsid w:val="00953604"/>
    <w:rsid w:val="0095496B"/>
    <w:rsid w:val="009601B0"/>
    <w:rsid w:val="00960938"/>
    <w:rsid w:val="009610DC"/>
    <w:rsid w:val="00961490"/>
    <w:rsid w:val="0096381A"/>
    <w:rsid w:val="00965E04"/>
    <w:rsid w:val="009674AD"/>
    <w:rsid w:val="00970CDC"/>
    <w:rsid w:val="00975727"/>
    <w:rsid w:val="00977010"/>
    <w:rsid w:val="00977D02"/>
    <w:rsid w:val="009809BB"/>
    <w:rsid w:val="009821FF"/>
    <w:rsid w:val="0098364B"/>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42C1"/>
    <w:rsid w:val="009A5429"/>
    <w:rsid w:val="009A72AD"/>
    <w:rsid w:val="009B09E0"/>
    <w:rsid w:val="009B0BC5"/>
    <w:rsid w:val="009B1247"/>
    <w:rsid w:val="009B1652"/>
    <w:rsid w:val="009B4051"/>
    <w:rsid w:val="009B6029"/>
    <w:rsid w:val="009B6971"/>
    <w:rsid w:val="009C27F1"/>
    <w:rsid w:val="009C3152"/>
    <w:rsid w:val="009C4CFA"/>
    <w:rsid w:val="009C5070"/>
    <w:rsid w:val="009C6D7F"/>
    <w:rsid w:val="009C78E2"/>
    <w:rsid w:val="009D112C"/>
    <w:rsid w:val="009D2A52"/>
    <w:rsid w:val="009D311A"/>
    <w:rsid w:val="009D47FA"/>
    <w:rsid w:val="009D4C5B"/>
    <w:rsid w:val="009D50D2"/>
    <w:rsid w:val="009D651A"/>
    <w:rsid w:val="009D6A5E"/>
    <w:rsid w:val="009D6BCA"/>
    <w:rsid w:val="009E0F62"/>
    <w:rsid w:val="009E3575"/>
    <w:rsid w:val="009E4A58"/>
    <w:rsid w:val="009E5A2D"/>
    <w:rsid w:val="009E5AB2"/>
    <w:rsid w:val="009E6219"/>
    <w:rsid w:val="009F03B3"/>
    <w:rsid w:val="009F2505"/>
    <w:rsid w:val="009F3168"/>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04E"/>
    <w:rsid w:val="00A41C79"/>
    <w:rsid w:val="00A41CB5"/>
    <w:rsid w:val="00A42CDF"/>
    <w:rsid w:val="00A4452E"/>
    <w:rsid w:val="00A4472C"/>
    <w:rsid w:val="00A44774"/>
    <w:rsid w:val="00A44E69"/>
    <w:rsid w:val="00A4661E"/>
    <w:rsid w:val="00A53211"/>
    <w:rsid w:val="00A55BD6"/>
    <w:rsid w:val="00A55D50"/>
    <w:rsid w:val="00A567CC"/>
    <w:rsid w:val="00A56F3C"/>
    <w:rsid w:val="00A57142"/>
    <w:rsid w:val="00A648CD"/>
    <w:rsid w:val="00A6537A"/>
    <w:rsid w:val="00A67866"/>
    <w:rsid w:val="00A70B07"/>
    <w:rsid w:val="00A7160E"/>
    <w:rsid w:val="00A723F8"/>
    <w:rsid w:val="00A73F1E"/>
    <w:rsid w:val="00A77CCB"/>
    <w:rsid w:val="00A83D8D"/>
    <w:rsid w:val="00A8446B"/>
    <w:rsid w:val="00A8473F"/>
    <w:rsid w:val="00A862D6"/>
    <w:rsid w:val="00A8715E"/>
    <w:rsid w:val="00A92868"/>
    <w:rsid w:val="00A9295B"/>
    <w:rsid w:val="00A93B09"/>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D95"/>
    <w:rsid w:val="00AC5DF4"/>
    <w:rsid w:val="00AC699E"/>
    <w:rsid w:val="00AD0AEF"/>
    <w:rsid w:val="00AD11B7"/>
    <w:rsid w:val="00AD12D1"/>
    <w:rsid w:val="00AD1A94"/>
    <w:rsid w:val="00AD1C05"/>
    <w:rsid w:val="00AD4126"/>
    <w:rsid w:val="00AD421C"/>
    <w:rsid w:val="00AD44FA"/>
    <w:rsid w:val="00AE070A"/>
    <w:rsid w:val="00AE101C"/>
    <w:rsid w:val="00AE2A69"/>
    <w:rsid w:val="00AE369C"/>
    <w:rsid w:val="00AE37E5"/>
    <w:rsid w:val="00AE5EB4"/>
    <w:rsid w:val="00AF0C18"/>
    <w:rsid w:val="00AF47C5"/>
    <w:rsid w:val="00AF5398"/>
    <w:rsid w:val="00B00AE9"/>
    <w:rsid w:val="00B020E6"/>
    <w:rsid w:val="00B049AF"/>
    <w:rsid w:val="00B04A9A"/>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4F68"/>
    <w:rsid w:val="00B378E5"/>
    <w:rsid w:val="00B4346D"/>
    <w:rsid w:val="00B440F4"/>
    <w:rsid w:val="00B447A5"/>
    <w:rsid w:val="00B4654C"/>
    <w:rsid w:val="00B47015"/>
    <w:rsid w:val="00B47293"/>
    <w:rsid w:val="00B50E50"/>
    <w:rsid w:val="00B52120"/>
    <w:rsid w:val="00B54ABC"/>
    <w:rsid w:val="00B56FBE"/>
    <w:rsid w:val="00B57E55"/>
    <w:rsid w:val="00B60ACF"/>
    <w:rsid w:val="00B62B58"/>
    <w:rsid w:val="00B62F24"/>
    <w:rsid w:val="00B6300B"/>
    <w:rsid w:val="00B63B94"/>
    <w:rsid w:val="00B65149"/>
    <w:rsid w:val="00B6652E"/>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5AF"/>
    <w:rsid w:val="00BA42B2"/>
    <w:rsid w:val="00BA58D4"/>
    <w:rsid w:val="00BA5B9E"/>
    <w:rsid w:val="00BA6876"/>
    <w:rsid w:val="00BA7C9A"/>
    <w:rsid w:val="00BB0DE0"/>
    <w:rsid w:val="00BB5F8F"/>
    <w:rsid w:val="00BB657A"/>
    <w:rsid w:val="00BC1A4E"/>
    <w:rsid w:val="00BC5DC7"/>
    <w:rsid w:val="00BC6B8B"/>
    <w:rsid w:val="00BC73D8"/>
    <w:rsid w:val="00BD52D7"/>
    <w:rsid w:val="00BD5AD2"/>
    <w:rsid w:val="00BD7F04"/>
    <w:rsid w:val="00BE22F3"/>
    <w:rsid w:val="00BE30B8"/>
    <w:rsid w:val="00BE5B52"/>
    <w:rsid w:val="00BE7B8D"/>
    <w:rsid w:val="00BF0993"/>
    <w:rsid w:val="00BF10A9"/>
    <w:rsid w:val="00BF1703"/>
    <w:rsid w:val="00BF231C"/>
    <w:rsid w:val="00BF4D30"/>
    <w:rsid w:val="00BF51E5"/>
    <w:rsid w:val="00BF6D2F"/>
    <w:rsid w:val="00BF74A6"/>
    <w:rsid w:val="00C013AD"/>
    <w:rsid w:val="00C045DE"/>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921"/>
    <w:rsid w:val="00C33E50"/>
    <w:rsid w:val="00C34C20"/>
    <w:rsid w:val="00C35A3E"/>
    <w:rsid w:val="00C42130"/>
    <w:rsid w:val="00C423A4"/>
    <w:rsid w:val="00C44BF5"/>
    <w:rsid w:val="00C521D6"/>
    <w:rsid w:val="00C54082"/>
    <w:rsid w:val="00C55232"/>
    <w:rsid w:val="00C553A4"/>
    <w:rsid w:val="00C55A06"/>
    <w:rsid w:val="00C55D03"/>
    <w:rsid w:val="00C601BC"/>
    <w:rsid w:val="00C60A3C"/>
    <w:rsid w:val="00C6329F"/>
    <w:rsid w:val="00C63340"/>
    <w:rsid w:val="00C643F9"/>
    <w:rsid w:val="00C64E95"/>
    <w:rsid w:val="00C65DE5"/>
    <w:rsid w:val="00C71372"/>
    <w:rsid w:val="00C72410"/>
    <w:rsid w:val="00C7287F"/>
    <w:rsid w:val="00C80CB8"/>
    <w:rsid w:val="00C819F8"/>
    <w:rsid w:val="00C8248C"/>
    <w:rsid w:val="00C84E33"/>
    <w:rsid w:val="00C86D6F"/>
    <w:rsid w:val="00C876C3"/>
    <w:rsid w:val="00C905FC"/>
    <w:rsid w:val="00C92BA8"/>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C038D"/>
    <w:rsid w:val="00CC0408"/>
    <w:rsid w:val="00CC08DB"/>
    <w:rsid w:val="00CC39FF"/>
    <w:rsid w:val="00CC3C2F"/>
    <w:rsid w:val="00CC4AC8"/>
    <w:rsid w:val="00CC5233"/>
    <w:rsid w:val="00CC5DE6"/>
    <w:rsid w:val="00CC6E4E"/>
    <w:rsid w:val="00CC6FE8"/>
    <w:rsid w:val="00CC7202"/>
    <w:rsid w:val="00CD2808"/>
    <w:rsid w:val="00CD28BF"/>
    <w:rsid w:val="00CD4092"/>
    <w:rsid w:val="00CD46C4"/>
    <w:rsid w:val="00CD4A20"/>
    <w:rsid w:val="00CD50A1"/>
    <w:rsid w:val="00CD519E"/>
    <w:rsid w:val="00CE0C4F"/>
    <w:rsid w:val="00CE30EA"/>
    <w:rsid w:val="00CF048A"/>
    <w:rsid w:val="00CF155A"/>
    <w:rsid w:val="00CF2947"/>
    <w:rsid w:val="00CF686F"/>
    <w:rsid w:val="00CF6E60"/>
    <w:rsid w:val="00CF7BCA"/>
    <w:rsid w:val="00D008FD"/>
    <w:rsid w:val="00D00C9E"/>
    <w:rsid w:val="00D0321C"/>
    <w:rsid w:val="00D035EC"/>
    <w:rsid w:val="00D06AB1"/>
    <w:rsid w:val="00D072ED"/>
    <w:rsid w:val="00D0767B"/>
    <w:rsid w:val="00D07A16"/>
    <w:rsid w:val="00D1067E"/>
    <w:rsid w:val="00D10F50"/>
    <w:rsid w:val="00D11272"/>
    <w:rsid w:val="00D126F5"/>
    <w:rsid w:val="00D1489E"/>
    <w:rsid w:val="00D17415"/>
    <w:rsid w:val="00D1744A"/>
    <w:rsid w:val="00D20737"/>
    <w:rsid w:val="00D21E81"/>
    <w:rsid w:val="00D223DE"/>
    <w:rsid w:val="00D228EB"/>
    <w:rsid w:val="00D25E37"/>
    <w:rsid w:val="00D26046"/>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566"/>
    <w:rsid w:val="00D62BC9"/>
    <w:rsid w:val="00D66846"/>
    <w:rsid w:val="00D675FB"/>
    <w:rsid w:val="00D71F25"/>
    <w:rsid w:val="00D72A9C"/>
    <w:rsid w:val="00D77019"/>
    <w:rsid w:val="00D77031"/>
    <w:rsid w:val="00D84941"/>
    <w:rsid w:val="00D84FA1"/>
    <w:rsid w:val="00D851F0"/>
    <w:rsid w:val="00D86DB7"/>
    <w:rsid w:val="00D87160"/>
    <w:rsid w:val="00D91A79"/>
    <w:rsid w:val="00D926D0"/>
    <w:rsid w:val="00D92D86"/>
    <w:rsid w:val="00D92FA7"/>
    <w:rsid w:val="00D93030"/>
    <w:rsid w:val="00D940C4"/>
    <w:rsid w:val="00D950E1"/>
    <w:rsid w:val="00D952A6"/>
    <w:rsid w:val="00D97F99"/>
    <w:rsid w:val="00DA1E08"/>
    <w:rsid w:val="00DA24F8"/>
    <w:rsid w:val="00DA28E8"/>
    <w:rsid w:val="00DA38D3"/>
    <w:rsid w:val="00DA3932"/>
    <w:rsid w:val="00DA3AFC"/>
    <w:rsid w:val="00DA64F8"/>
    <w:rsid w:val="00DA6C15"/>
    <w:rsid w:val="00DB0258"/>
    <w:rsid w:val="00DB1729"/>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416"/>
    <w:rsid w:val="00DE468D"/>
    <w:rsid w:val="00DE6E81"/>
    <w:rsid w:val="00DE703F"/>
    <w:rsid w:val="00DE7595"/>
    <w:rsid w:val="00DF1961"/>
    <w:rsid w:val="00DF227D"/>
    <w:rsid w:val="00DF44DE"/>
    <w:rsid w:val="00E01138"/>
    <w:rsid w:val="00E02DFB"/>
    <w:rsid w:val="00E030F9"/>
    <w:rsid w:val="00E0311A"/>
    <w:rsid w:val="00E03138"/>
    <w:rsid w:val="00E06404"/>
    <w:rsid w:val="00E11A85"/>
    <w:rsid w:val="00E12495"/>
    <w:rsid w:val="00E15CCD"/>
    <w:rsid w:val="00E16CA6"/>
    <w:rsid w:val="00E202EF"/>
    <w:rsid w:val="00E210B5"/>
    <w:rsid w:val="00E2552F"/>
    <w:rsid w:val="00E3137A"/>
    <w:rsid w:val="00E32CCF"/>
    <w:rsid w:val="00E34A98"/>
    <w:rsid w:val="00E35D1E"/>
    <w:rsid w:val="00E364F9"/>
    <w:rsid w:val="00E365FA"/>
    <w:rsid w:val="00E36789"/>
    <w:rsid w:val="00E37AE5"/>
    <w:rsid w:val="00E4340A"/>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AEF"/>
    <w:rsid w:val="00E822E8"/>
    <w:rsid w:val="00E82554"/>
    <w:rsid w:val="00E82606"/>
    <w:rsid w:val="00E846C8"/>
    <w:rsid w:val="00E84957"/>
    <w:rsid w:val="00E84A55"/>
    <w:rsid w:val="00E85BFF"/>
    <w:rsid w:val="00E8763D"/>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E0350"/>
    <w:rsid w:val="00EE0719"/>
    <w:rsid w:val="00EE0E80"/>
    <w:rsid w:val="00EE613F"/>
    <w:rsid w:val="00EE7295"/>
    <w:rsid w:val="00EE7869"/>
    <w:rsid w:val="00EF054A"/>
    <w:rsid w:val="00EF0D1A"/>
    <w:rsid w:val="00EF3235"/>
    <w:rsid w:val="00EF7E72"/>
    <w:rsid w:val="00F06D37"/>
    <w:rsid w:val="00F07B9D"/>
    <w:rsid w:val="00F11586"/>
    <w:rsid w:val="00F1183B"/>
    <w:rsid w:val="00F11C9F"/>
    <w:rsid w:val="00F12263"/>
    <w:rsid w:val="00F1409D"/>
    <w:rsid w:val="00F14214"/>
    <w:rsid w:val="00F157A9"/>
    <w:rsid w:val="00F23EA4"/>
    <w:rsid w:val="00F25BB6"/>
    <w:rsid w:val="00F26B7E"/>
    <w:rsid w:val="00F27A3B"/>
    <w:rsid w:val="00F33817"/>
    <w:rsid w:val="00F420D5"/>
    <w:rsid w:val="00F451EA"/>
    <w:rsid w:val="00F45447"/>
    <w:rsid w:val="00F456C6"/>
    <w:rsid w:val="00F4577B"/>
    <w:rsid w:val="00F46496"/>
    <w:rsid w:val="00F474D0"/>
    <w:rsid w:val="00F50179"/>
    <w:rsid w:val="00F515EE"/>
    <w:rsid w:val="00F54DF8"/>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87915"/>
    <w:rsid w:val="00F9108B"/>
    <w:rsid w:val="00F91349"/>
    <w:rsid w:val="00F93A8A"/>
    <w:rsid w:val="00F95248"/>
    <w:rsid w:val="00F956A9"/>
    <w:rsid w:val="00F963ED"/>
    <w:rsid w:val="00F966CF"/>
    <w:rsid w:val="00F96CAE"/>
    <w:rsid w:val="00F97C99"/>
    <w:rsid w:val="00FA1086"/>
    <w:rsid w:val="00FA2BFB"/>
    <w:rsid w:val="00FA662D"/>
    <w:rsid w:val="00FA73B1"/>
    <w:rsid w:val="00FA775F"/>
    <w:rsid w:val="00FB0CB9"/>
    <w:rsid w:val="00FB231D"/>
    <w:rsid w:val="00FB45F1"/>
    <w:rsid w:val="00FB4A72"/>
    <w:rsid w:val="00FB54E8"/>
    <w:rsid w:val="00FB7054"/>
    <w:rsid w:val="00FC17B7"/>
    <w:rsid w:val="00FC2CB7"/>
    <w:rsid w:val="00FC4090"/>
    <w:rsid w:val="00FC55B4"/>
    <w:rsid w:val="00FC5A3B"/>
    <w:rsid w:val="00FD00E6"/>
    <w:rsid w:val="00FD09A1"/>
    <w:rsid w:val="00FD2A7C"/>
    <w:rsid w:val="00FD59EB"/>
    <w:rsid w:val="00FD69A6"/>
    <w:rsid w:val="00FD7299"/>
    <w:rsid w:val="00FE1FBE"/>
    <w:rsid w:val="00FE3901"/>
    <w:rsid w:val="00FE39D3"/>
    <w:rsid w:val="00FE4BCE"/>
    <w:rsid w:val="00FE54AE"/>
    <w:rsid w:val="00FE576A"/>
    <w:rsid w:val="00FE7E79"/>
    <w:rsid w:val="00FF23D4"/>
    <w:rsid w:val="00FF3E7D"/>
    <w:rsid w:val="00FF5B99"/>
    <w:rsid w:val="00FF730C"/>
    <w:rsid w:val="00FF73F4"/>
    <w:rsid w:val="00FF7CE4"/>
    <w:rsid w:val="00FF7E39"/>
    <w:rsid w:val="02094A42"/>
    <w:rsid w:val="0ADF3DF1"/>
    <w:rsid w:val="0B057D70"/>
    <w:rsid w:val="0B582596"/>
    <w:rsid w:val="108F25B6"/>
    <w:rsid w:val="10937A63"/>
    <w:rsid w:val="11306A42"/>
    <w:rsid w:val="150A76A2"/>
    <w:rsid w:val="17BD5C5B"/>
    <w:rsid w:val="1D641B0D"/>
    <w:rsid w:val="1E2C64B8"/>
    <w:rsid w:val="2C31056E"/>
    <w:rsid w:val="31943A79"/>
    <w:rsid w:val="32A07BAD"/>
    <w:rsid w:val="336B25B7"/>
    <w:rsid w:val="357F67EE"/>
    <w:rsid w:val="3B247C1B"/>
    <w:rsid w:val="3DE74F30"/>
    <w:rsid w:val="3EFA4F15"/>
    <w:rsid w:val="41546D80"/>
    <w:rsid w:val="42653A86"/>
    <w:rsid w:val="44E129D0"/>
    <w:rsid w:val="4AE253FD"/>
    <w:rsid w:val="4B35552D"/>
    <w:rsid w:val="4CF563BE"/>
    <w:rsid w:val="4E2B2C17"/>
    <w:rsid w:val="54200081"/>
    <w:rsid w:val="59F007C3"/>
    <w:rsid w:val="5FDFA4D7"/>
    <w:rsid w:val="603774C5"/>
    <w:rsid w:val="68995944"/>
    <w:rsid w:val="68B24209"/>
    <w:rsid w:val="6BDB3A77"/>
    <w:rsid w:val="6BE43438"/>
    <w:rsid w:val="74363F40"/>
    <w:rsid w:val="7476433D"/>
    <w:rsid w:val="7ADC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rFonts w:ascii="Times New Roman" w:hAnsi="Times New Roman" w:eastAsia="宋体" w:cs="Times New Roman"/>
      <w:b/>
      <w:bCs/>
      <w:kern w:val="44"/>
      <w:sz w:val="44"/>
      <w:szCs w:val="44"/>
    </w:rPr>
  </w:style>
  <w:style w:type="character" w:customStyle="1" w:styleId="35">
    <w:name w:val="标题 2 字符"/>
    <w:link w:val="3"/>
    <w:autoRedefine/>
    <w:qFormat/>
    <w:uiPriority w:val="0"/>
    <w:rPr>
      <w:rFonts w:ascii="Arial" w:hAnsi="Arial" w:eastAsia="黑体" w:cs="Times New Roman"/>
      <w:b/>
      <w:bCs/>
      <w:sz w:val="32"/>
      <w:szCs w:val="32"/>
    </w:rPr>
  </w:style>
  <w:style w:type="character" w:customStyle="1" w:styleId="36">
    <w:name w:val="标题 3 字符"/>
    <w:link w:val="4"/>
    <w:autoRedefine/>
    <w:qFormat/>
    <w:uiPriority w:val="0"/>
    <w:rPr>
      <w:rFonts w:ascii="Times New Roman" w:hAnsi="Times New Roman" w:eastAsia="宋体" w:cs="Times New Roman"/>
      <w:b/>
      <w:bCs/>
      <w:sz w:val="32"/>
      <w:szCs w:val="32"/>
    </w:rPr>
  </w:style>
  <w:style w:type="character" w:customStyle="1" w:styleId="37">
    <w:name w:val="标题 4 字符"/>
    <w:link w:val="5"/>
    <w:autoRedefine/>
    <w:qFormat/>
    <w:uiPriority w:val="0"/>
    <w:rPr>
      <w:rFonts w:ascii="Arial" w:hAnsi="Arial" w:eastAsia="黑体" w:cs="Times New Roman"/>
      <w:b/>
      <w:bCs/>
      <w:sz w:val="28"/>
      <w:szCs w:val="28"/>
    </w:rPr>
  </w:style>
  <w:style w:type="character" w:customStyle="1" w:styleId="38">
    <w:name w:val="标题 5 字符"/>
    <w:link w:val="6"/>
    <w:autoRedefine/>
    <w:qFormat/>
    <w:uiPriority w:val="0"/>
    <w:rPr>
      <w:rFonts w:ascii="Times New Roman" w:hAnsi="Times New Roman" w:eastAsia="宋体" w:cs="Times New Roman"/>
      <w:b/>
      <w:bCs/>
      <w:sz w:val="28"/>
      <w:szCs w:val="28"/>
    </w:rPr>
  </w:style>
  <w:style w:type="character" w:customStyle="1" w:styleId="39">
    <w:name w:val="标题 6 字符"/>
    <w:link w:val="7"/>
    <w:autoRedefine/>
    <w:qFormat/>
    <w:uiPriority w:val="0"/>
    <w:rPr>
      <w:rFonts w:ascii="Arial" w:hAnsi="Arial" w:eastAsia="黑体" w:cs="Times New Roman"/>
      <w:b/>
      <w:bCs/>
      <w:sz w:val="24"/>
      <w:szCs w:val="24"/>
    </w:rPr>
  </w:style>
  <w:style w:type="character" w:customStyle="1" w:styleId="40">
    <w:name w:val="标题 7 字符"/>
    <w:link w:val="8"/>
    <w:autoRedefine/>
    <w:qFormat/>
    <w:uiPriority w:val="0"/>
    <w:rPr>
      <w:rFonts w:ascii="Times New Roman" w:hAnsi="Times New Roman" w:eastAsia="宋体" w:cs="Times New Roman"/>
      <w:b/>
      <w:bCs/>
      <w:sz w:val="24"/>
      <w:szCs w:val="24"/>
    </w:rPr>
  </w:style>
  <w:style w:type="character" w:customStyle="1" w:styleId="41">
    <w:name w:val="标题 8 字符"/>
    <w:link w:val="9"/>
    <w:autoRedefine/>
    <w:qFormat/>
    <w:uiPriority w:val="0"/>
    <w:rPr>
      <w:rFonts w:ascii="Arial" w:hAnsi="Arial" w:eastAsia="黑体" w:cs="Times New Roman"/>
      <w:sz w:val="24"/>
      <w:szCs w:val="24"/>
    </w:rPr>
  </w:style>
  <w:style w:type="character" w:customStyle="1" w:styleId="42">
    <w:name w:val="标题 9 字符"/>
    <w:link w:val="10"/>
    <w:autoRedefine/>
    <w:qFormat/>
    <w:uiPriority w:val="0"/>
    <w:rPr>
      <w:rFonts w:ascii="Arial" w:hAnsi="Arial" w:eastAsia="黑体" w:cs="Times New Roman"/>
      <w:szCs w:val="21"/>
    </w:rPr>
  </w:style>
  <w:style w:type="character" w:customStyle="1" w:styleId="43">
    <w:name w:val="页眉 字符"/>
    <w:link w:val="18"/>
    <w:autoRedefine/>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autoRedefine/>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autoRedefine/>
    <w:qFormat/>
    <w:uiPriority w:val="29"/>
    <w:rPr>
      <w:i/>
      <w:iCs/>
      <w:color w:val="000000"/>
    </w:rPr>
  </w:style>
  <w:style w:type="character" w:customStyle="1" w:styleId="48">
    <w:name w:val="标题 字符"/>
    <w:link w:val="25"/>
    <w:autoRedefine/>
    <w:qFormat/>
    <w:uiPriority w:val="0"/>
    <w:rPr>
      <w:rFonts w:ascii="Arial" w:hAnsi="Arial" w:eastAsia="宋体" w:cs="Arial"/>
      <w:b/>
      <w:bCs/>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156" w:beforeLines="50" w:after="156"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ind w:left="0" w:firstLine="200"/>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hAnsi="Times New Roman" w:eastAsia="宋体" w:cs="Times New Roman"/>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autoRedefine/>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标准书眉_奇数页"/>
    <w:next w:val="1"/>
    <w:unhideWhenUsed/>
    <w:qFormat/>
    <w:uiPriority w:val="0"/>
    <w:pPr>
      <w:tabs>
        <w:tab w:val="center" w:pos="4154"/>
        <w:tab w:val="right" w:pos="8306"/>
      </w:tabs>
      <w:spacing w:after="120"/>
      <w:jc w:val="right"/>
    </w:pPr>
    <w:rPr>
      <w:rFonts w:ascii="Calibri" w:hAnsi="Calibri" w:eastAsia="宋体" w:cs="Times New Roman"/>
      <w:sz w:val="21"/>
      <w:szCs w:val="24"/>
      <w:lang w:val="en-US" w:eastAsia="zh-CN" w:bidi="ar-SA"/>
    </w:rPr>
  </w:style>
  <w:style w:type="paragraph" w:customStyle="1" w:styleId="231">
    <w:name w:val="标准书脚_奇数页"/>
    <w:unhideWhenUsed/>
    <w:qFormat/>
    <w:uiPriority w:val="0"/>
    <w:pPr>
      <w:spacing w:before="120"/>
      <w:jc w:val="right"/>
    </w:pPr>
    <w:rPr>
      <w:rFonts w:ascii="Calibri" w:hAnsi="Calibri" w:eastAsia="宋体" w:cs="Times New Roman"/>
      <w:sz w:val="18"/>
      <w:szCs w:val="24"/>
      <w:lang w:val="en-US" w:eastAsia="zh-CN" w:bidi="ar-SA"/>
    </w:rPr>
  </w:style>
  <w:style w:type="paragraph" w:customStyle="1" w:styleId="23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3">
    <w:name w:val="一级无"/>
    <w:basedOn w:val="234"/>
    <w:unhideWhenUsed/>
    <w:qFormat/>
    <w:uiPriority w:val="0"/>
    <w:pPr>
      <w:numPr>
        <w:ilvl w:val="1"/>
        <w:numId w:val="32"/>
      </w:numPr>
    </w:pPr>
    <w:rPr>
      <w:rFonts w:hint="eastAsia" w:ascii="宋体" w:eastAsia="宋体"/>
    </w:rPr>
  </w:style>
  <w:style w:type="paragraph" w:customStyle="1" w:styleId="234">
    <w:name w:val="一级条标题"/>
    <w:basedOn w:val="235"/>
    <w:next w:val="232"/>
    <w:unhideWhenUsed/>
    <w:qFormat/>
    <w:uiPriority w:val="0"/>
    <w:pPr>
      <w:numPr>
        <w:ilvl w:val="2"/>
      </w:numPr>
      <w:spacing w:beforeLines="0" w:afterLines="0"/>
      <w:outlineLvl w:val="2"/>
    </w:pPr>
    <w:rPr>
      <w:rFonts w:hint="default" w:ascii="Times New Roman"/>
    </w:rPr>
  </w:style>
  <w:style w:type="paragraph" w:customStyle="1" w:styleId="235">
    <w:name w:val="章标题"/>
    <w:next w:val="232"/>
    <w:unhideWhenUsed/>
    <w:qFormat/>
    <w:uiPriority w:val="0"/>
    <w:pPr>
      <w:numPr>
        <w:ilvl w:val="1"/>
        <w:numId w:val="33"/>
      </w:numPr>
      <w:spacing w:before="156" w:beforeLines="50" w:after="156" w:afterLines="50"/>
      <w:jc w:val="both"/>
      <w:outlineLvl w:val="1"/>
    </w:pPr>
    <w:rPr>
      <w:rFonts w:hint="eastAsia" w:ascii="黑体" w:hAnsi="Times New Roman" w:eastAsia="黑体" w:cs="Times New Roman"/>
      <w:sz w:val="21"/>
      <w:szCs w:val="24"/>
      <w:lang w:val="en-US" w:eastAsia="zh-CN" w:bidi="ar-SA"/>
    </w:rPr>
  </w:style>
  <w:style w:type="character" w:customStyle="1" w:styleId="236">
    <w:name w:val="不明显参考2"/>
    <w:unhideWhenUsed/>
    <w:qFormat/>
    <w:uiPriority w:val="31"/>
    <w:rPr>
      <w:rFonts w:hint="default"/>
      <w:smallCaps/>
      <w:color w:val="C0504D"/>
      <w:sz w:val="24"/>
      <w:szCs w:val="24"/>
      <w:u w:val="single"/>
    </w:rPr>
  </w:style>
  <w:style w:type="paragraph" w:customStyle="1" w:styleId="237">
    <w:name w:val="二级条标题"/>
    <w:basedOn w:val="234"/>
    <w:next w:val="232"/>
    <w:unhideWhenUsed/>
    <w:qFormat/>
    <w:uiPriority w:val="0"/>
    <w:pPr>
      <w:numPr>
        <w:ilvl w:val="3"/>
      </w:numPr>
      <w:outlineLvl w:val="3"/>
    </w:pPr>
  </w:style>
  <w:style w:type="character" w:customStyle="1" w:styleId="238">
    <w:name w:val="_Style 2"/>
    <w:unhideWhenUsed/>
    <w:qFormat/>
    <w:uiPriority w:val="32"/>
    <w:rPr>
      <w:rFonts w:hint="default"/>
      <w:b/>
      <w:smallCaps/>
      <w:color w:val="C0504D"/>
      <w:spacing w:val="5"/>
      <w:sz w:val="24"/>
      <w:szCs w:val="24"/>
      <w:u w:val="single"/>
    </w:rPr>
  </w:style>
  <w:style w:type="character" w:customStyle="1" w:styleId="239">
    <w:name w:val="明显参考1"/>
    <w:unhideWhenUsed/>
    <w:qFormat/>
    <w:uiPriority w:val="32"/>
    <w:rPr>
      <w:rFonts w:hint="default"/>
      <w:b/>
      <w:smallCaps/>
      <w:color w:val="C0504D"/>
      <w:spacing w:val="5"/>
      <w:sz w:val="24"/>
      <w:szCs w:val="24"/>
      <w:u w:val="single"/>
    </w:rPr>
  </w:style>
  <w:style w:type="character" w:customStyle="1" w:styleId="240">
    <w:name w:val="_Style 0"/>
    <w:unhideWhenUsed/>
    <w:qFormat/>
    <w:uiPriority w:val="32"/>
    <w:rPr>
      <w:rFonts w:hint="default"/>
      <w:b/>
      <w:smallCaps/>
      <w:color w:val="C0504D"/>
      <w:spacing w:val="5"/>
      <w:sz w:val="24"/>
      <w:szCs w:val="24"/>
      <w:u w:val="single"/>
    </w:rPr>
  </w:style>
  <w:style w:type="character" w:customStyle="1" w:styleId="241">
    <w:name w:val="_Style 1"/>
    <w:unhideWhenUsed/>
    <w:qFormat/>
    <w:uiPriority w:val="32"/>
    <w:rPr>
      <w:rFonts w:hint="default"/>
      <w:b/>
      <w:smallCaps/>
      <w:color w:val="C0504D"/>
      <w:spacing w:val="5"/>
      <w:sz w:val="24"/>
      <w:szCs w:val="24"/>
      <w:u w:val="single"/>
    </w:rPr>
  </w:style>
  <w:style w:type="paragraph" w:customStyle="1" w:styleId="242">
    <w:name w:val="终结线"/>
    <w:basedOn w:val="1"/>
    <w:qFormat/>
    <w:uiPriority w:val="0"/>
    <w:pPr>
      <w:framePr w:hSpace="181" w:vSpace="181" w:wrap="around" w:vAnchor="text" w:hAnchor="margin" w:xAlign="center" w:y="285"/>
    </w:pPr>
  </w:style>
  <w:style w:type="paragraph" w:customStyle="1" w:styleId="243">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F458F4D92E446B5A3EC5EFFB6B7F777"/>
        <w:style w:val=""/>
        <w:category>
          <w:name w:val="常规"/>
          <w:gallery w:val="placeholder"/>
        </w:category>
        <w:types>
          <w:type w:val="bbPlcHdr"/>
        </w:types>
        <w:behaviors>
          <w:behavior w:val="content"/>
        </w:behaviors>
        <w:description w:val=""/>
        <w:guid w:val="{ED15E6C9-6BA9-4D56-A4BD-1FF9F51B24BB}"/>
      </w:docPartPr>
      <w:docPartBody>
        <w:p w14:paraId="6D1AB0E7">
          <w:pPr>
            <w:pStyle w:val="5"/>
            <w:rPr>
              <w:rFonts w:hint="eastAsia"/>
            </w:rPr>
          </w:pPr>
          <w:r>
            <w:rPr>
              <w:rStyle w:val="4"/>
              <w:rFonts w:hint="eastAsia"/>
            </w:rPr>
            <w:t>单击或点击此处输入文字。</w:t>
          </w:r>
        </w:p>
      </w:docPartBody>
    </w:docPart>
    <w:docPart>
      <w:docPartPr>
        <w:name w:val="E837B05808E7498F86E5F6546C81BDC9"/>
        <w:style w:val=""/>
        <w:category>
          <w:name w:val="常规"/>
          <w:gallery w:val="placeholder"/>
        </w:category>
        <w:types>
          <w:type w:val="bbPlcHdr"/>
        </w:types>
        <w:behaviors>
          <w:behavior w:val="content"/>
        </w:behaviors>
        <w:description w:val=""/>
        <w:guid w:val="{E1167049-CBA5-43A4-9FEE-FCFA66134DEE}"/>
      </w:docPartPr>
      <w:docPartBody>
        <w:p w14:paraId="7CE607FC">
          <w:pPr>
            <w:pStyle w:val="6"/>
            <w:rPr>
              <w:rFonts w:hint="eastAsia"/>
            </w:rPr>
          </w:pPr>
          <w:r>
            <w:rPr>
              <w:rStyle w:val="4"/>
              <w:rFonts w:hint="eastAsia"/>
            </w:rPr>
            <w:t>选择一项。</w:t>
          </w:r>
        </w:p>
      </w:docPartBody>
    </w:docPart>
    <w:docPart>
      <w:docPartPr>
        <w:name w:val="0565D93B170A4672937AA45DC91C12C9"/>
        <w:style w:val=""/>
        <w:category>
          <w:name w:val="常规"/>
          <w:gallery w:val="placeholder"/>
        </w:category>
        <w:types>
          <w:type w:val="bbPlcHdr"/>
        </w:types>
        <w:behaviors>
          <w:behavior w:val="content"/>
        </w:behaviors>
        <w:description w:val=""/>
        <w:guid w:val="{E1468C68-C2B7-4FA8-A8B9-316651DD3141}"/>
      </w:docPartPr>
      <w:docPartBody>
        <w:p w14:paraId="27EDFD30">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4C"/>
    <w:rsid w:val="00026458"/>
    <w:rsid w:val="00091E0E"/>
    <w:rsid w:val="000921BF"/>
    <w:rsid w:val="001178F7"/>
    <w:rsid w:val="00131A5B"/>
    <w:rsid w:val="00174E98"/>
    <w:rsid w:val="001A22D9"/>
    <w:rsid w:val="0024050F"/>
    <w:rsid w:val="00257E4C"/>
    <w:rsid w:val="0027613F"/>
    <w:rsid w:val="00276445"/>
    <w:rsid w:val="00300D01"/>
    <w:rsid w:val="003250DD"/>
    <w:rsid w:val="003461C6"/>
    <w:rsid w:val="00370D81"/>
    <w:rsid w:val="00383350"/>
    <w:rsid w:val="003A3344"/>
    <w:rsid w:val="003F30C3"/>
    <w:rsid w:val="004507B8"/>
    <w:rsid w:val="004672E9"/>
    <w:rsid w:val="00483461"/>
    <w:rsid w:val="00486EA0"/>
    <w:rsid w:val="00494586"/>
    <w:rsid w:val="004A3DF6"/>
    <w:rsid w:val="00513D83"/>
    <w:rsid w:val="00522BAF"/>
    <w:rsid w:val="005245C9"/>
    <w:rsid w:val="00575A8F"/>
    <w:rsid w:val="005A3FF0"/>
    <w:rsid w:val="005E0E77"/>
    <w:rsid w:val="00631309"/>
    <w:rsid w:val="00670AD7"/>
    <w:rsid w:val="006A778C"/>
    <w:rsid w:val="006C7CB0"/>
    <w:rsid w:val="00717073"/>
    <w:rsid w:val="00742EB8"/>
    <w:rsid w:val="00742F0E"/>
    <w:rsid w:val="007A68BE"/>
    <w:rsid w:val="007E1B4F"/>
    <w:rsid w:val="00827529"/>
    <w:rsid w:val="0084772F"/>
    <w:rsid w:val="008F3CDD"/>
    <w:rsid w:val="00913E21"/>
    <w:rsid w:val="00936C74"/>
    <w:rsid w:val="00991E84"/>
    <w:rsid w:val="009C1F53"/>
    <w:rsid w:val="009E0A1E"/>
    <w:rsid w:val="00A56A39"/>
    <w:rsid w:val="00A87381"/>
    <w:rsid w:val="00AD12D1"/>
    <w:rsid w:val="00B47015"/>
    <w:rsid w:val="00B5796E"/>
    <w:rsid w:val="00B63B49"/>
    <w:rsid w:val="00B71572"/>
    <w:rsid w:val="00BB42E6"/>
    <w:rsid w:val="00C30D27"/>
    <w:rsid w:val="00C4009E"/>
    <w:rsid w:val="00CD0101"/>
    <w:rsid w:val="00D4726E"/>
    <w:rsid w:val="00DB1729"/>
    <w:rsid w:val="00DD2AC0"/>
    <w:rsid w:val="00DF486B"/>
    <w:rsid w:val="00E106EE"/>
    <w:rsid w:val="00E30933"/>
    <w:rsid w:val="00E60C5E"/>
    <w:rsid w:val="00EA1875"/>
    <w:rsid w:val="00EA4F7D"/>
    <w:rsid w:val="00EB1950"/>
    <w:rsid w:val="00F35054"/>
    <w:rsid w:val="00F43BA0"/>
    <w:rsid w:val="00F72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F458F4D92E446B5A3EC5EFFB6B7F777"/>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E837B05808E7498F86E5F6546C81BDC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0565D93B170A4672937AA45DC91C12C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34A4B-0720-41FD-8BFA-355BF12F007E}">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8</Pages>
  <Words>1541</Words>
  <Characters>1652</Characters>
  <Lines>137</Lines>
  <Paragraphs>162</Paragraphs>
  <TotalTime>1</TotalTime>
  <ScaleCrop>false</ScaleCrop>
  <LinksUpToDate>false</LinksUpToDate>
  <CharactersWithSpaces>1726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2024-01-07T15:15:00Z</dcterms:created>
  <dc:creator>DHM</dc:creator>
  <dc:description>&lt;config cover="true" show_menu="true" version="1.0.0" doctype="SDKXY"&gt;_x000d_
&lt;/config&gt;</dc:description>
  <cp:lastModifiedBy>郭俊霞</cp:lastModifiedBy>
  <cp:lastPrinted>2025-10-29T04:52:00Z</cp:lastPrinted>
  <dcterms:modified xsi:type="dcterms:W3CDTF">2025-10-30T15:09:01Z</dcterms:modified>
  <dc:title>企业标准</dc:title>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2052-12.1.0.22089</vt:lpwstr>
  </property>
  <property fmtid="{D5CDD505-2E9C-101B-9397-08002B2CF9AE}" pid="15" name="ICV">
    <vt:lpwstr>EF7294891FD64CAC95EFE0091F161DC3_12</vt:lpwstr>
  </property>
  <property fmtid="{D5CDD505-2E9C-101B-9397-08002B2CF9AE}" pid="16" name="KSOTemplateDocerSaveRecord">
    <vt:lpwstr>eyJoZGlkIjoiZmVmMDJjOTk0NTQ3MzQ5MjIyZDI5NWZjNGQ1MjQzOGQiLCJ1c2VySWQiOiIxNzIyNDA4NDc1In0=</vt:lpwstr>
  </property>
</Properties>
</file>